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526C" w14:textId="3C265EB7" w:rsidR="00A961EE" w:rsidRDefault="00575C71" w:rsidP="00F95A40">
      <w:pPr>
        <w:ind w:right="-103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95A40">
        <w:rPr>
          <w:rFonts w:ascii="Arial" w:hAnsi="Arial" w:cs="Arial"/>
          <w:b/>
          <w:bCs/>
        </w:rPr>
        <w:t>ESTADÍSTICAS SOBRE RELACIONES LAB</w:t>
      </w:r>
      <w:r w:rsidR="00BA49D5">
        <w:rPr>
          <w:rFonts w:ascii="Arial" w:hAnsi="Arial" w:cs="Arial"/>
          <w:b/>
          <w:bCs/>
        </w:rPr>
        <w:t>O</w:t>
      </w:r>
      <w:r w:rsidRPr="00F95A40">
        <w:rPr>
          <w:rFonts w:ascii="Arial" w:hAnsi="Arial" w:cs="Arial"/>
          <w:b/>
          <w:bCs/>
        </w:rPr>
        <w:t>RALES DE JURISDICCIÓN LOCAL (ERLAJUL) 2022</w:t>
      </w:r>
    </w:p>
    <w:p w14:paraId="4D8B6645" w14:textId="77777777" w:rsidR="00575C71" w:rsidRPr="00575C71" w:rsidRDefault="00575C71" w:rsidP="00F95A40">
      <w:pPr>
        <w:jc w:val="center"/>
      </w:pPr>
    </w:p>
    <w:p w14:paraId="024ADB88" w14:textId="58FE68BE" w:rsidR="003B58D0" w:rsidRPr="00A7495B" w:rsidRDefault="003A74D0" w:rsidP="00F95A40">
      <w:pPr>
        <w:pStyle w:val="Prrafodelista"/>
        <w:numPr>
          <w:ilvl w:val="0"/>
          <w:numId w:val="11"/>
        </w:numPr>
        <w:spacing w:before="120" w:after="120"/>
        <w:ind w:left="567" w:right="359" w:hanging="283"/>
        <w:jc w:val="both"/>
        <w:rPr>
          <w:rFonts w:ascii="Arial" w:eastAsia="Calibri" w:hAnsi="Arial" w:cs="Arial"/>
          <w:lang w:eastAsia="en-US"/>
        </w:rPr>
      </w:pPr>
      <w:r w:rsidRPr="00A7495B">
        <w:rPr>
          <w:rFonts w:ascii="Arial" w:hAnsi="Arial" w:cs="Arial"/>
        </w:rPr>
        <w:t xml:space="preserve">Durante 2022, se </w:t>
      </w:r>
      <w:r w:rsidR="00D51952">
        <w:rPr>
          <w:rFonts w:ascii="Arial" w:hAnsi="Arial" w:cs="Arial"/>
        </w:rPr>
        <w:t>suscribieron</w:t>
      </w:r>
      <w:r w:rsidR="003E3C0A">
        <w:rPr>
          <w:rFonts w:ascii="Arial" w:hAnsi="Arial" w:cs="Arial"/>
        </w:rPr>
        <w:t xml:space="preserve"> </w:t>
      </w:r>
      <w:r w:rsidRPr="00A7495B">
        <w:rPr>
          <w:rFonts w:ascii="Arial" w:hAnsi="Arial" w:cs="Arial"/>
        </w:rPr>
        <w:t>356 442 convenios de trabajo prejudiciales</w:t>
      </w:r>
      <w:r w:rsidR="001E21A6">
        <w:rPr>
          <w:rFonts w:ascii="Arial" w:hAnsi="Arial" w:cs="Arial"/>
        </w:rPr>
        <w:t>:</w:t>
      </w:r>
      <w:r w:rsidRPr="00A7495B">
        <w:rPr>
          <w:rFonts w:ascii="Arial" w:hAnsi="Arial" w:cs="Arial"/>
        </w:rPr>
        <w:t xml:space="preserve"> 3.4</w:t>
      </w:r>
      <w:r w:rsidR="00625C6D">
        <w:rPr>
          <w:rFonts w:ascii="Arial" w:hAnsi="Arial" w:cs="Arial"/>
        </w:rPr>
        <w:t xml:space="preserve"> </w:t>
      </w:r>
      <w:r w:rsidRPr="00A7495B">
        <w:rPr>
          <w:rFonts w:ascii="Arial" w:hAnsi="Arial" w:cs="Arial"/>
        </w:rPr>
        <w:t>% menos que en 2021</w:t>
      </w:r>
      <w:r w:rsidR="00705C13" w:rsidRPr="00A7495B">
        <w:rPr>
          <w:rFonts w:ascii="Arial" w:hAnsi="Arial" w:cs="Arial"/>
        </w:rPr>
        <w:t>.</w:t>
      </w:r>
    </w:p>
    <w:p w14:paraId="0CD4A0E3" w14:textId="6ED05F24" w:rsidR="003B58D0" w:rsidRPr="009C3ECE" w:rsidRDefault="003B58D0" w:rsidP="00F95A40">
      <w:pPr>
        <w:pStyle w:val="Textoindependiente"/>
        <w:numPr>
          <w:ilvl w:val="0"/>
          <w:numId w:val="9"/>
        </w:numPr>
        <w:kinsoku w:val="0"/>
        <w:overflowPunct w:val="0"/>
        <w:spacing w:before="120" w:after="120"/>
        <w:ind w:left="567" w:right="359" w:hanging="283"/>
        <w:jc w:val="both"/>
      </w:pPr>
      <w:r w:rsidRPr="009C3ECE">
        <w:t xml:space="preserve">Se registraron </w:t>
      </w:r>
      <w:r w:rsidR="009F0A2A" w:rsidRPr="009C3ECE">
        <w:t>1</w:t>
      </w:r>
      <w:r w:rsidR="003E129A">
        <w:t>38</w:t>
      </w:r>
      <w:r w:rsidR="00F2371B">
        <w:t xml:space="preserve"> </w:t>
      </w:r>
      <w:r w:rsidR="003E129A">
        <w:t>420</w:t>
      </w:r>
      <w:r w:rsidRPr="009C3ECE">
        <w:t xml:space="preserve"> conflictos de trabajo (individuales y colectivos), lo </w:t>
      </w:r>
      <w:r w:rsidR="00BE3631">
        <w:t xml:space="preserve">que representó </w:t>
      </w:r>
      <w:r w:rsidRPr="009C3ECE">
        <w:t>un</w:t>
      </w:r>
      <w:r w:rsidR="009F0A2A" w:rsidRPr="009C3ECE">
        <w:t xml:space="preserve"> de</w:t>
      </w:r>
      <w:r w:rsidR="00AA2764" w:rsidRPr="009C3ECE">
        <w:t>scenso</w:t>
      </w:r>
      <w:r w:rsidRPr="009C3ECE">
        <w:t xml:space="preserve"> de </w:t>
      </w:r>
      <w:r w:rsidR="003E129A">
        <w:t>24.3</w:t>
      </w:r>
      <w:r w:rsidR="00625C6D">
        <w:t xml:space="preserve"> </w:t>
      </w:r>
      <w:r w:rsidRPr="009C3ECE">
        <w:t>% respecto a 20</w:t>
      </w:r>
      <w:r w:rsidR="00854C32" w:rsidRPr="009C3ECE">
        <w:t>2</w:t>
      </w:r>
      <w:r w:rsidR="003E129A">
        <w:t>1</w:t>
      </w:r>
      <w:r w:rsidRPr="009C3ECE">
        <w:t>.</w:t>
      </w:r>
    </w:p>
    <w:p w14:paraId="542CEBF3" w14:textId="45B184B9" w:rsidR="003B58D0" w:rsidRPr="009C3ECE" w:rsidRDefault="00A961EE" w:rsidP="00F95A40">
      <w:pPr>
        <w:pStyle w:val="Textoindependiente"/>
        <w:numPr>
          <w:ilvl w:val="0"/>
          <w:numId w:val="9"/>
        </w:numPr>
        <w:kinsoku w:val="0"/>
        <w:overflowPunct w:val="0"/>
        <w:spacing w:before="120" w:after="120"/>
        <w:ind w:left="567" w:right="359" w:hanging="283"/>
        <w:jc w:val="both"/>
      </w:pPr>
      <w:r>
        <w:t>En 2022,</w:t>
      </w:r>
      <w:r w:rsidR="003B58D0" w:rsidRPr="009C3ECE">
        <w:t xml:space="preserve"> se registraron </w:t>
      </w:r>
      <w:r w:rsidR="003E129A">
        <w:t>3</w:t>
      </w:r>
      <w:r w:rsidR="00625C6D">
        <w:t xml:space="preserve"> </w:t>
      </w:r>
      <w:r w:rsidR="003E129A">
        <w:t>151</w:t>
      </w:r>
      <w:r w:rsidR="003B58D0" w:rsidRPr="009C3ECE">
        <w:t xml:space="preserve"> casos de emplazamientos a huelga</w:t>
      </w:r>
      <w:r w:rsidR="002E1953" w:rsidRPr="009C3ECE">
        <w:t xml:space="preserve">, </w:t>
      </w:r>
      <w:r w:rsidR="003E129A">
        <w:t>74</w:t>
      </w:r>
      <w:r w:rsidR="002E1953" w:rsidRPr="009C3ECE">
        <w:t>.</w:t>
      </w:r>
      <w:r w:rsidR="003E129A">
        <w:t>5</w:t>
      </w:r>
      <w:r w:rsidR="00625C6D">
        <w:t xml:space="preserve"> </w:t>
      </w:r>
      <w:r w:rsidR="002E1953" w:rsidRPr="009C3ECE">
        <w:t xml:space="preserve">% </w:t>
      </w:r>
      <w:r w:rsidR="003E129A">
        <w:t xml:space="preserve">menos </w:t>
      </w:r>
      <w:r w:rsidR="00003E17">
        <w:t>que en</w:t>
      </w:r>
      <w:r w:rsidR="002E1953" w:rsidRPr="009C3ECE">
        <w:t xml:space="preserve"> 20</w:t>
      </w:r>
      <w:r w:rsidR="00854C32" w:rsidRPr="009C3ECE">
        <w:t>2</w:t>
      </w:r>
      <w:r w:rsidR="003E129A">
        <w:t>1</w:t>
      </w:r>
      <w:r w:rsidR="005B540A" w:rsidRPr="009C3ECE">
        <w:t xml:space="preserve"> </w:t>
      </w:r>
      <w:r w:rsidR="003B58D0" w:rsidRPr="009C3ECE">
        <w:t xml:space="preserve">y estallaron </w:t>
      </w:r>
      <w:r w:rsidR="001E21A6">
        <w:t>9</w:t>
      </w:r>
      <w:r>
        <w:t xml:space="preserve"> </w:t>
      </w:r>
      <w:r w:rsidR="003B58D0" w:rsidRPr="009C3ECE">
        <w:t>huelgas</w:t>
      </w:r>
      <w:r>
        <w:t>, 10</w:t>
      </w:r>
      <w:r w:rsidR="003B58D0" w:rsidRPr="009C3ECE">
        <w:t xml:space="preserve"> </w:t>
      </w:r>
      <w:r w:rsidR="00854C32" w:rsidRPr="009C3ECE">
        <w:t>m</w:t>
      </w:r>
      <w:r w:rsidR="003E129A">
        <w:t xml:space="preserve">enos </w:t>
      </w:r>
      <w:r w:rsidR="003B58D0" w:rsidRPr="009C3ECE">
        <w:t xml:space="preserve">que </w:t>
      </w:r>
      <w:r w:rsidR="00003E17">
        <w:t>el año inmediato anterior</w:t>
      </w:r>
      <w:r w:rsidR="00377D8A">
        <w:t>.</w:t>
      </w:r>
    </w:p>
    <w:p w14:paraId="1DA5A50B" w14:textId="439AB43F" w:rsidR="001E21A6" w:rsidRPr="00B1622A" w:rsidRDefault="0077075D" w:rsidP="001E21A6">
      <w:pPr>
        <w:pStyle w:val="Textoindependiente"/>
        <w:kinsoku w:val="0"/>
        <w:overflowPunct w:val="0"/>
        <w:spacing w:before="240" w:after="240"/>
        <w:ind w:left="0" w:right="-103"/>
        <w:jc w:val="both"/>
        <w:rPr>
          <w:color w:val="0000FF"/>
          <w:sz w:val="22"/>
          <w:szCs w:val="22"/>
          <w:u w:val="single"/>
        </w:rPr>
      </w:pPr>
      <w:r w:rsidRPr="006B0992">
        <w:t xml:space="preserve">El Instituto Nacional de Estadística y Geografía (INEGI) da a conocer los resultados, a nivel nacional y por entidad federativa, de las </w:t>
      </w:r>
      <w:bookmarkStart w:id="1" w:name="_Hlk138355822"/>
      <w:r w:rsidRPr="006B0992">
        <w:t xml:space="preserve">Estadísticas sobre </w:t>
      </w:r>
      <w:r w:rsidR="002A1373">
        <w:t>R</w:t>
      </w:r>
      <w:r w:rsidRPr="006B0992">
        <w:t xml:space="preserve">elaciones </w:t>
      </w:r>
      <w:r w:rsidR="002A1373">
        <w:t>L</w:t>
      </w:r>
      <w:r w:rsidRPr="006B0992">
        <w:t xml:space="preserve">aborales de </w:t>
      </w:r>
      <w:r w:rsidR="002A1373">
        <w:t>J</w:t>
      </w:r>
      <w:r w:rsidRPr="006B0992">
        <w:t xml:space="preserve">urisdicción </w:t>
      </w:r>
      <w:r w:rsidR="002A1373">
        <w:t>L</w:t>
      </w:r>
      <w:r w:rsidRPr="006B0992">
        <w:t xml:space="preserve">ocal </w:t>
      </w:r>
      <w:r w:rsidR="00A961EE">
        <w:t>(ERLAJUL)</w:t>
      </w:r>
      <w:r w:rsidR="001E21A6">
        <w:t xml:space="preserve"> registradas</w:t>
      </w:r>
      <w:bookmarkEnd w:id="1"/>
      <w:r w:rsidRPr="006B0992">
        <w:t xml:space="preserve"> </w:t>
      </w:r>
      <w:r w:rsidR="00015FF7">
        <w:t>durante</w:t>
      </w:r>
      <w:r w:rsidR="00015FF7" w:rsidRPr="006B0992">
        <w:t xml:space="preserve"> </w:t>
      </w:r>
      <w:r w:rsidRPr="006B0992">
        <w:t>202</w:t>
      </w:r>
      <w:r w:rsidR="009F4B84">
        <w:t>2</w:t>
      </w:r>
      <w:r w:rsidRPr="006B0992">
        <w:t>.</w:t>
      </w:r>
      <w:r w:rsidR="001E21A6" w:rsidRPr="001E21A6">
        <w:t xml:space="preserve"> </w:t>
      </w:r>
      <w:r w:rsidR="001E21A6">
        <w:t>Esta publicación es anual y, para esta edición</w:t>
      </w:r>
      <w:r w:rsidR="001E21A6" w:rsidRPr="006B0992">
        <w:t>, la</w:t>
      </w:r>
      <w:r w:rsidR="001E21A6">
        <w:t xml:space="preserve">s </w:t>
      </w:r>
      <w:r w:rsidR="001E21A6" w:rsidRPr="006B0992">
        <w:t>fuentes informantes ascendi</w:t>
      </w:r>
      <w:r w:rsidR="001E21A6">
        <w:t>eron</w:t>
      </w:r>
      <w:r w:rsidR="001E21A6" w:rsidRPr="006B0992">
        <w:t xml:space="preserve"> a </w:t>
      </w:r>
      <w:r w:rsidR="001E21A6">
        <w:t>386:</w:t>
      </w:r>
      <w:r w:rsidR="001E21A6" w:rsidRPr="00703B7D">
        <w:rPr>
          <w:rFonts w:eastAsia="Times New Roman"/>
          <w:spacing w:val="-2"/>
        </w:rPr>
        <w:t xml:space="preserve"> 19</w:t>
      </w:r>
      <w:r w:rsidR="001E21A6">
        <w:rPr>
          <w:rFonts w:eastAsia="Times New Roman"/>
          <w:spacing w:val="-2"/>
        </w:rPr>
        <w:t>1</w:t>
      </w:r>
      <w:r w:rsidR="001E21A6" w:rsidRPr="00703B7D">
        <w:rPr>
          <w:rFonts w:eastAsia="Times New Roman"/>
          <w:spacing w:val="-2"/>
        </w:rPr>
        <w:t xml:space="preserve"> Juntas Locales</w:t>
      </w:r>
      <w:r w:rsidR="001E21A6">
        <w:rPr>
          <w:rFonts w:eastAsia="Times New Roman"/>
          <w:spacing w:val="-2"/>
        </w:rPr>
        <w:t xml:space="preserve"> de Conciliación y Arbitraje</w:t>
      </w:r>
      <w:r w:rsidR="001E21A6" w:rsidRPr="00703B7D">
        <w:rPr>
          <w:rFonts w:eastAsia="Times New Roman"/>
          <w:spacing w:val="-2"/>
        </w:rPr>
        <w:t xml:space="preserve">, </w:t>
      </w:r>
      <w:r w:rsidR="001E21A6">
        <w:rPr>
          <w:rFonts w:eastAsia="Times New Roman"/>
          <w:spacing w:val="-2"/>
        </w:rPr>
        <w:t>87</w:t>
      </w:r>
      <w:r w:rsidR="001E21A6" w:rsidRPr="00703B7D">
        <w:rPr>
          <w:rFonts w:eastAsia="Times New Roman"/>
          <w:spacing w:val="-2"/>
        </w:rPr>
        <w:t xml:space="preserve"> Centros </w:t>
      </w:r>
      <w:r w:rsidR="001E21A6">
        <w:rPr>
          <w:rFonts w:eastAsia="Times New Roman"/>
          <w:spacing w:val="-2"/>
        </w:rPr>
        <w:t xml:space="preserve">de </w:t>
      </w:r>
      <w:r w:rsidR="001E21A6" w:rsidRPr="00703B7D">
        <w:rPr>
          <w:rFonts w:eastAsia="Times New Roman"/>
          <w:spacing w:val="-2"/>
        </w:rPr>
        <w:t>Conciliación</w:t>
      </w:r>
      <w:r w:rsidR="001E21A6">
        <w:rPr>
          <w:rFonts w:eastAsia="Times New Roman"/>
          <w:spacing w:val="-2"/>
        </w:rPr>
        <w:t xml:space="preserve"> Laboral locales</w:t>
      </w:r>
      <w:r w:rsidR="001E21A6" w:rsidRPr="00703B7D">
        <w:rPr>
          <w:rFonts w:eastAsia="Times New Roman"/>
          <w:spacing w:val="-2"/>
        </w:rPr>
        <w:t xml:space="preserve"> y </w:t>
      </w:r>
      <w:r w:rsidR="001E21A6">
        <w:rPr>
          <w:rFonts w:eastAsia="Times New Roman"/>
          <w:spacing w:val="-2"/>
        </w:rPr>
        <w:t>108</w:t>
      </w:r>
      <w:r w:rsidR="001E21A6" w:rsidRPr="00703B7D">
        <w:rPr>
          <w:rFonts w:eastAsia="Times New Roman"/>
          <w:spacing w:val="-2"/>
        </w:rPr>
        <w:t xml:space="preserve"> Tribunales Laborales</w:t>
      </w:r>
      <w:r w:rsidR="001E21A6">
        <w:rPr>
          <w:rFonts w:eastAsia="Times New Roman"/>
          <w:spacing w:val="-2"/>
        </w:rPr>
        <w:t xml:space="preserve"> locales</w:t>
      </w:r>
      <w:r w:rsidR="001E21A6" w:rsidRPr="00703B7D">
        <w:rPr>
          <w:rFonts w:eastAsia="Times New Roman"/>
          <w:spacing w:val="-2"/>
        </w:rPr>
        <w:t>.</w:t>
      </w:r>
    </w:p>
    <w:p w14:paraId="2B5C5B4B" w14:textId="76B95BC7" w:rsidR="0077075D" w:rsidRDefault="0077075D" w:rsidP="00F95A40">
      <w:pPr>
        <w:pStyle w:val="Textoindependiente"/>
        <w:kinsoku w:val="0"/>
        <w:overflowPunct w:val="0"/>
        <w:spacing w:before="240" w:after="240"/>
        <w:ind w:left="0" w:right="-103"/>
        <w:jc w:val="both"/>
      </w:pPr>
    </w:p>
    <w:p w14:paraId="5A649EAF" w14:textId="2BC5E044" w:rsidR="00644151" w:rsidRDefault="00644151" w:rsidP="00F95A40">
      <w:pPr>
        <w:pStyle w:val="Textoindependiente"/>
        <w:tabs>
          <w:tab w:val="left" w:pos="7424"/>
        </w:tabs>
        <w:kinsoku w:val="0"/>
        <w:overflowPunct w:val="0"/>
        <w:ind w:left="0" w:right="-103"/>
        <w:jc w:val="both"/>
        <w:rPr>
          <w:b/>
          <w:smallCaps/>
        </w:rPr>
      </w:pPr>
      <w:r w:rsidRPr="00EA683C">
        <w:rPr>
          <w:b/>
          <w:smallCaps/>
        </w:rPr>
        <w:t>Principales resultados</w:t>
      </w:r>
    </w:p>
    <w:p w14:paraId="67CF3767" w14:textId="77777777" w:rsidR="00A961EE" w:rsidRPr="00EA683C" w:rsidRDefault="00A961EE" w:rsidP="00F95A40">
      <w:pPr>
        <w:pStyle w:val="Textoindependiente"/>
        <w:tabs>
          <w:tab w:val="left" w:pos="7424"/>
        </w:tabs>
        <w:kinsoku w:val="0"/>
        <w:overflowPunct w:val="0"/>
        <w:ind w:left="0" w:right="-103"/>
        <w:jc w:val="both"/>
        <w:rPr>
          <w:b/>
          <w:smallCaps/>
        </w:rPr>
      </w:pPr>
    </w:p>
    <w:p w14:paraId="74A45011" w14:textId="109E3D37" w:rsidR="00575C71" w:rsidRDefault="00644151" w:rsidP="00F95A40">
      <w:pPr>
        <w:pStyle w:val="Textoindependiente"/>
        <w:kinsoku w:val="0"/>
        <w:overflowPunct w:val="0"/>
        <w:ind w:left="0" w:right="-103"/>
        <w:jc w:val="both"/>
        <w:rPr>
          <w:sz w:val="20"/>
          <w:szCs w:val="20"/>
        </w:rPr>
      </w:pPr>
      <w:r w:rsidRPr="00625C6D">
        <w:rPr>
          <w:spacing w:val="4"/>
        </w:rPr>
        <w:t>Durante 202</w:t>
      </w:r>
      <w:r w:rsidR="00D17F4F" w:rsidRPr="00625C6D">
        <w:rPr>
          <w:spacing w:val="4"/>
        </w:rPr>
        <w:t>2</w:t>
      </w:r>
      <w:r w:rsidRPr="00625C6D">
        <w:rPr>
          <w:spacing w:val="4"/>
        </w:rPr>
        <w:t xml:space="preserve">, </w:t>
      </w:r>
      <w:r w:rsidR="00BE3631" w:rsidRPr="00625C6D">
        <w:rPr>
          <w:spacing w:val="4"/>
        </w:rPr>
        <w:t xml:space="preserve">a nivel nacional, </w:t>
      </w:r>
      <w:r w:rsidR="00A86581" w:rsidRPr="00625C6D">
        <w:rPr>
          <w:spacing w:val="4"/>
        </w:rPr>
        <w:t xml:space="preserve">se </w:t>
      </w:r>
      <w:r w:rsidRPr="00625C6D">
        <w:rPr>
          <w:spacing w:val="4"/>
        </w:rPr>
        <w:t>registraron 3</w:t>
      </w:r>
      <w:r w:rsidR="00105361" w:rsidRPr="00625C6D">
        <w:rPr>
          <w:spacing w:val="4"/>
        </w:rPr>
        <w:t>56</w:t>
      </w:r>
      <w:r w:rsidR="00625C6D" w:rsidRPr="00625C6D">
        <w:rPr>
          <w:spacing w:val="4"/>
        </w:rPr>
        <w:t xml:space="preserve"> </w:t>
      </w:r>
      <w:r w:rsidR="00105361" w:rsidRPr="00625C6D">
        <w:rPr>
          <w:spacing w:val="4"/>
        </w:rPr>
        <w:t>442</w:t>
      </w:r>
      <w:r w:rsidRPr="00625C6D">
        <w:rPr>
          <w:spacing w:val="4"/>
        </w:rPr>
        <w:t xml:space="preserve"> convenios de trabajo prejudiciales, 1</w:t>
      </w:r>
      <w:r w:rsidR="00105361" w:rsidRPr="00625C6D">
        <w:rPr>
          <w:spacing w:val="4"/>
        </w:rPr>
        <w:t>38</w:t>
      </w:r>
      <w:r w:rsidR="00625C6D" w:rsidRPr="00625C6D">
        <w:rPr>
          <w:spacing w:val="4"/>
        </w:rPr>
        <w:t xml:space="preserve"> </w:t>
      </w:r>
      <w:r w:rsidR="00105361" w:rsidRPr="00625C6D">
        <w:rPr>
          <w:spacing w:val="4"/>
        </w:rPr>
        <w:t>420</w:t>
      </w:r>
      <w:r w:rsidRPr="00625C6D">
        <w:rPr>
          <w:spacing w:val="4"/>
        </w:rPr>
        <w:t xml:space="preserve"> conflictos de trabajo (individuales y colectivos) y </w:t>
      </w:r>
      <w:r w:rsidR="00105361" w:rsidRPr="00625C6D">
        <w:rPr>
          <w:spacing w:val="4"/>
        </w:rPr>
        <w:t>3</w:t>
      </w:r>
      <w:r w:rsidR="00625C6D" w:rsidRPr="00625C6D">
        <w:rPr>
          <w:spacing w:val="4"/>
        </w:rPr>
        <w:t xml:space="preserve"> </w:t>
      </w:r>
      <w:r w:rsidR="00105361" w:rsidRPr="00625C6D">
        <w:rPr>
          <w:spacing w:val="4"/>
        </w:rPr>
        <w:t>151</w:t>
      </w:r>
      <w:r w:rsidRPr="00625C6D">
        <w:rPr>
          <w:spacing w:val="4"/>
        </w:rPr>
        <w:t xml:space="preserve"> emplazamientos a huelga</w:t>
      </w:r>
      <w:r w:rsidR="00BE3631" w:rsidRPr="00625C6D">
        <w:rPr>
          <w:spacing w:val="4"/>
        </w:rPr>
        <w:t xml:space="preserve">. Estos </w:t>
      </w:r>
      <w:r w:rsidRPr="00625C6D">
        <w:rPr>
          <w:spacing w:val="4"/>
        </w:rPr>
        <w:t xml:space="preserve">constituyen el punto de partida para alcanzar </w:t>
      </w:r>
      <w:r w:rsidR="00A4332F" w:rsidRPr="00625C6D">
        <w:rPr>
          <w:spacing w:val="4"/>
        </w:rPr>
        <w:t>otr</w:t>
      </w:r>
      <w:r w:rsidR="00A4332F">
        <w:rPr>
          <w:spacing w:val="4"/>
        </w:rPr>
        <w:t>as</w:t>
      </w:r>
      <w:r w:rsidR="00A4332F" w:rsidRPr="00625C6D">
        <w:rPr>
          <w:spacing w:val="4"/>
        </w:rPr>
        <w:t xml:space="preserve"> </w:t>
      </w:r>
      <w:r w:rsidR="00A4332F">
        <w:rPr>
          <w:spacing w:val="4"/>
        </w:rPr>
        <w:t>etapas</w:t>
      </w:r>
      <w:r w:rsidRPr="00625C6D">
        <w:rPr>
          <w:spacing w:val="4"/>
        </w:rPr>
        <w:t xml:space="preserve"> </w:t>
      </w:r>
      <w:r w:rsidR="00015FF7" w:rsidRPr="00625C6D">
        <w:rPr>
          <w:spacing w:val="4"/>
        </w:rPr>
        <w:t xml:space="preserve">en el proceso de solución de las </w:t>
      </w:r>
      <w:r w:rsidR="00B75447" w:rsidRPr="00625C6D">
        <w:rPr>
          <w:spacing w:val="4"/>
        </w:rPr>
        <w:t>desavenencias</w:t>
      </w:r>
      <w:r w:rsidRPr="00625C6D">
        <w:rPr>
          <w:spacing w:val="4"/>
        </w:rPr>
        <w:t xml:space="preserve"> en las relaciones laborales del ámbito local.</w:t>
      </w:r>
    </w:p>
    <w:p w14:paraId="6E65F375" w14:textId="77777777" w:rsidR="00575C71" w:rsidRDefault="00575C71" w:rsidP="00A961EE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</w:p>
    <w:p w14:paraId="1752D07A" w14:textId="65905DA8" w:rsidR="00B308ED" w:rsidRPr="007A24FF" w:rsidRDefault="00B308ED" w:rsidP="00A961EE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 w:rsidRPr="007A24FF">
        <w:rPr>
          <w:sz w:val="20"/>
          <w:szCs w:val="20"/>
        </w:rPr>
        <w:t>Gráfic</w:t>
      </w:r>
      <w:r w:rsidR="001F6C3C" w:rsidRPr="007A24FF">
        <w:rPr>
          <w:sz w:val="20"/>
          <w:szCs w:val="20"/>
        </w:rPr>
        <w:t>a</w:t>
      </w:r>
      <w:r w:rsidRPr="007A24FF">
        <w:rPr>
          <w:sz w:val="20"/>
          <w:szCs w:val="20"/>
        </w:rPr>
        <w:t xml:space="preserve"> 1</w:t>
      </w:r>
    </w:p>
    <w:p w14:paraId="450C4AA7" w14:textId="5CB1A3DA" w:rsidR="00B308ED" w:rsidRDefault="00B308ED" w:rsidP="00A961EE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6973BD">
        <w:rPr>
          <w:b/>
          <w:smallCaps/>
          <w:sz w:val="22"/>
          <w:szCs w:val="22"/>
        </w:rPr>
        <w:t>Relaciones laborales de jurisdicción local</w:t>
      </w:r>
    </w:p>
    <w:p w14:paraId="6266FECF" w14:textId="4264F48D" w:rsidR="009F4B84" w:rsidRPr="00F95A40" w:rsidRDefault="009F4B84" w:rsidP="00A961EE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bookmarkStart w:id="2" w:name="_Hlk137215094"/>
      <w:r w:rsidRPr="00F95A40">
        <w:rPr>
          <w:bCs/>
          <w:sz w:val="20"/>
          <w:szCs w:val="20"/>
        </w:rPr>
        <w:t>2022</w:t>
      </w:r>
    </w:p>
    <w:bookmarkEnd w:id="2"/>
    <w:p w14:paraId="56F36D7D" w14:textId="152F991A" w:rsidR="00B65192" w:rsidRPr="00A86581" w:rsidRDefault="00F62FE2" w:rsidP="006A65D7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noProof/>
        </w:rPr>
        <w:drawing>
          <wp:inline distT="0" distB="0" distL="0" distR="0" wp14:anchorId="5E114320" wp14:editId="7D087178">
            <wp:extent cx="5524500" cy="2428875"/>
            <wp:effectExtent l="0" t="0" r="0" b="0"/>
            <wp:docPr id="171838368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45E8360-705E-4C3D-BE05-11EA85FE5A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4C82C7" w14:textId="5D51D470" w:rsidR="000C32CC" w:rsidRDefault="00F42339" w:rsidP="00B351C5">
      <w:pPr>
        <w:pStyle w:val="Textoindependiente"/>
        <w:kinsoku w:val="0"/>
        <w:overflowPunct w:val="0"/>
        <w:ind w:left="1134" w:right="606" w:hanging="425"/>
        <w:jc w:val="both"/>
        <w:rPr>
          <w:rFonts w:eastAsia="Calibri"/>
          <w:sz w:val="16"/>
          <w:szCs w:val="16"/>
        </w:rPr>
      </w:pPr>
      <w:r>
        <w:rPr>
          <w:sz w:val="16"/>
          <w:szCs w:val="16"/>
        </w:rPr>
        <w:t>Nota:</w:t>
      </w:r>
      <w:r w:rsidR="00575C71" w:rsidDel="00575C71">
        <w:rPr>
          <w:sz w:val="16"/>
          <w:szCs w:val="16"/>
        </w:rPr>
        <w:t xml:space="preserve"> </w:t>
      </w:r>
      <w:r w:rsidR="000C32CC">
        <w:rPr>
          <w:sz w:val="16"/>
          <w:szCs w:val="16"/>
        </w:rPr>
        <w:t xml:space="preserve">   </w:t>
      </w:r>
      <w:r w:rsidRPr="006A0882">
        <w:rPr>
          <w:sz w:val="16"/>
          <w:szCs w:val="16"/>
        </w:rPr>
        <w:t>E</w:t>
      </w:r>
      <w:r w:rsidRPr="006A0882">
        <w:rPr>
          <w:rStyle w:val="ui-provider"/>
          <w:sz w:val="16"/>
          <w:szCs w:val="16"/>
        </w:rPr>
        <w:t xml:space="preserve">l </w:t>
      </w:r>
      <w:r w:rsidRPr="006A0882">
        <w:rPr>
          <w:rFonts w:eastAsia="Calibri"/>
          <w:sz w:val="16"/>
          <w:szCs w:val="16"/>
        </w:rPr>
        <w:t xml:space="preserve">Convenio de </w:t>
      </w:r>
      <w:r w:rsidR="000C32CC">
        <w:rPr>
          <w:rFonts w:eastAsia="Calibri"/>
          <w:sz w:val="16"/>
          <w:szCs w:val="16"/>
        </w:rPr>
        <w:t>c</w:t>
      </w:r>
      <w:r w:rsidRPr="006A0882">
        <w:rPr>
          <w:rFonts w:eastAsia="Calibri"/>
          <w:sz w:val="16"/>
          <w:szCs w:val="16"/>
        </w:rPr>
        <w:t>olaboración para la captación de registros administrativos en materia de convenios de trabajo</w:t>
      </w:r>
      <w:r w:rsidR="00575C71">
        <w:rPr>
          <w:rFonts w:eastAsia="Calibri"/>
          <w:sz w:val="16"/>
          <w:szCs w:val="16"/>
        </w:rPr>
        <w:t xml:space="preserve"> </w:t>
      </w:r>
      <w:r w:rsidR="000C32CC">
        <w:rPr>
          <w:rFonts w:eastAsia="Calibri"/>
          <w:sz w:val="16"/>
          <w:szCs w:val="16"/>
        </w:rPr>
        <w:t xml:space="preserve">   </w:t>
      </w:r>
    </w:p>
    <w:p w14:paraId="7C5657FD" w14:textId="274FADF2" w:rsidR="000C32CC" w:rsidRDefault="000C32CC" w:rsidP="00B351C5">
      <w:pPr>
        <w:pStyle w:val="Textoindependiente"/>
        <w:kinsoku w:val="0"/>
        <w:overflowPunct w:val="0"/>
        <w:ind w:left="1134" w:right="606" w:hanging="425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</w:t>
      </w:r>
      <w:r w:rsidR="00F42339" w:rsidRPr="006A0882">
        <w:rPr>
          <w:rFonts w:eastAsia="Calibri"/>
          <w:sz w:val="16"/>
          <w:szCs w:val="16"/>
        </w:rPr>
        <w:t xml:space="preserve">prejudiciales, celebrado entre el Centro de Conciliación Laboral de Veracruz de Ignacio de la Llave y el INEGI, </w:t>
      </w:r>
    </w:p>
    <w:p w14:paraId="3DB02A71" w14:textId="309CF850" w:rsidR="000C32CC" w:rsidRDefault="000C32CC" w:rsidP="00B351C5">
      <w:pPr>
        <w:pStyle w:val="Textoindependiente"/>
        <w:kinsoku w:val="0"/>
        <w:overflowPunct w:val="0"/>
        <w:ind w:left="1134" w:right="606" w:hanging="425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</w:t>
      </w:r>
      <w:r w:rsidR="00F42339" w:rsidRPr="006A0882">
        <w:rPr>
          <w:rFonts w:eastAsia="Calibri"/>
          <w:sz w:val="16"/>
          <w:szCs w:val="16"/>
        </w:rPr>
        <w:t xml:space="preserve">se formalizó el 8 de diciembre de 2022. La información objeto del convenio </w:t>
      </w:r>
      <w:r>
        <w:rPr>
          <w:rFonts w:eastAsia="Calibri"/>
          <w:sz w:val="16"/>
          <w:szCs w:val="16"/>
        </w:rPr>
        <w:t>se</w:t>
      </w:r>
      <w:r w:rsidR="00F42339" w:rsidRPr="006A0882">
        <w:rPr>
          <w:rFonts w:eastAsia="Calibri"/>
          <w:sz w:val="16"/>
          <w:szCs w:val="16"/>
        </w:rPr>
        <w:t xml:space="preserve"> entrega a partir de enero de </w:t>
      </w:r>
    </w:p>
    <w:p w14:paraId="640ADEAE" w14:textId="148B1926" w:rsidR="000C32CC" w:rsidRDefault="000C32CC" w:rsidP="00B351C5">
      <w:pPr>
        <w:pStyle w:val="Textoindependiente"/>
        <w:kinsoku w:val="0"/>
        <w:overflowPunct w:val="0"/>
        <w:ind w:left="1134" w:right="606" w:hanging="425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</w:t>
      </w:r>
      <w:r w:rsidR="00F42339" w:rsidRPr="006A0882">
        <w:rPr>
          <w:rFonts w:eastAsia="Calibri"/>
          <w:sz w:val="16"/>
          <w:szCs w:val="16"/>
        </w:rPr>
        <w:t xml:space="preserve">2023. Derivado de lo anterior, la edición 2022 del programa carece de información sobre los convenios de trabajo </w:t>
      </w:r>
    </w:p>
    <w:p w14:paraId="0D99FACC" w14:textId="3586D6B6" w:rsidR="00F42339" w:rsidRDefault="000C32CC" w:rsidP="00B351C5">
      <w:pPr>
        <w:pStyle w:val="Textoindependiente"/>
        <w:kinsoku w:val="0"/>
        <w:overflowPunct w:val="0"/>
        <w:ind w:left="1134" w:right="606" w:hanging="425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</w:t>
      </w:r>
      <w:r w:rsidR="00F42339" w:rsidRPr="006A0882">
        <w:rPr>
          <w:rFonts w:eastAsia="Calibri"/>
          <w:sz w:val="16"/>
          <w:szCs w:val="16"/>
        </w:rPr>
        <w:t>prejudiciales celebrados en Veracruz durante ese año.</w:t>
      </w:r>
    </w:p>
    <w:p w14:paraId="2F33E5D4" w14:textId="10EEDD72" w:rsidR="003C28E8" w:rsidRDefault="000A51AB" w:rsidP="00F95A40">
      <w:pPr>
        <w:kinsoku w:val="0"/>
        <w:overflowPunct w:val="0"/>
        <w:spacing w:after="240"/>
        <w:ind w:right="929" w:firstLine="709"/>
        <w:jc w:val="both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 w:rsidR="000C32CC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bookmarkStart w:id="3" w:name="_Hlk138076463"/>
      <w:r>
        <w:rPr>
          <w:rFonts w:ascii="Arial" w:eastAsia="Times New Roman" w:hAnsi="Arial" w:cs="Arial"/>
          <w:sz w:val="16"/>
          <w:szCs w:val="16"/>
        </w:rPr>
        <w:t>(ER</w:t>
      </w:r>
      <w:r w:rsidR="00E67DB3">
        <w:rPr>
          <w:rFonts w:ascii="Arial" w:eastAsia="Times New Roman" w:hAnsi="Arial" w:cs="Arial"/>
          <w:sz w:val="16"/>
          <w:szCs w:val="16"/>
        </w:rPr>
        <w:t>LA</w:t>
      </w:r>
      <w:r>
        <w:rPr>
          <w:rFonts w:ascii="Arial" w:eastAsia="Times New Roman" w:hAnsi="Arial" w:cs="Arial"/>
          <w:sz w:val="16"/>
          <w:szCs w:val="16"/>
        </w:rPr>
        <w:t>J</w:t>
      </w:r>
      <w:r w:rsidR="00E67DB3">
        <w:rPr>
          <w:rFonts w:ascii="Arial" w:eastAsia="Times New Roman" w:hAnsi="Arial" w:cs="Arial"/>
          <w:sz w:val="16"/>
          <w:szCs w:val="16"/>
        </w:rPr>
        <w:t>U</w:t>
      </w:r>
      <w:r>
        <w:rPr>
          <w:rFonts w:ascii="Arial" w:eastAsia="Times New Roman" w:hAnsi="Arial" w:cs="Arial"/>
          <w:sz w:val="16"/>
          <w:szCs w:val="16"/>
        </w:rPr>
        <w:t>L)</w:t>
      </w:r>
      <w:bookmarkEnd w:id="3"/>
      <w:r>
        <w:rPr>
          <w:rFonts w:ascii="Arial" w:eastAsia="Times New Roman" w:hAnsi="Arial" w:cs="Arial"/>
          <w:sz w:val="16"/>
          <w:szCs w:val="16"/>
        </w:rPr>
        <w:t>, 2022</w:t>
      </w:r>
    </w:p>
    <w:p w14:paraId="2F0AEDFA" w14:textId="5268F16B" w:rsidR="00ED2EEC" w:rsidRDefault="003A3584" w:rsidP="00F95A40">
      <w:pPr>
        <w:kinsoku w:val="0"/>
        <w:overflowPunct w:val="0"/>
        <w:ind w:right="-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continuación, se presenta </w:t>
      </w:r>
      <w:r w:rsidR="00C62DCC">
        <w:rPr>
          <w:rFonts w:ascii="Arial" w:hAnsi="Arial" w:cs="Arial"/>
        </w:rPr>
        <w:t>el porcentaje</w:t>
      </w:r>
      <w:r>
        <w:rPr>
          <w:rFonts w:ascii="Arial" w:hAnsi="Arial" w:cs="Arial"/>
        </w:rPr>
        <w:t xml:space="preserve"> de los convenios de trabajo prejudicial</w:t>
      </w:r>
      <w:r w:rsidR="003A74D0">
        <w:rPr>
          <w:rFonts w:ascii="Arial" w:hAnsi="Arial" w:cs="Arial"/>
        </w:rPr>
        <w:t>es</w:t>
      </w:r>
      <w:r>
        <w:rPr>
          <w:rFonts w:ascii="Arial" w:hAnsi="Arial" w:cs="Arial"/>
        </w:rPr>
        <w:t>, conflictos de trabajo y emplazamientos a huelga por entidad federativa.</w:t>
      </w:r>
      <w:r w:rsidR="00ED2EEC">
        <w:rPr>
          <w:rStyle w:val="Refdenotaalpie"/>
          <w:rFonts w:ascii="Arial" w:hAnsi="Arial" w:cs="Arial"/>
        </w:rPr>
        <w:footnoteReference w:id="2"/>
      </w:r>
      <w:r w:rsidR="00ED2EEC" w:rsidRPr="001F6C3C">
        <w:rPr>
          <w:rFonts w:ascii="Arial" w:hAnsi="Arial" w:cs="Arial"/>
        </w:rPr>
        <w:t xml:space="preserve"> </w:t>
      </w:r>
    </w:p>
    <w:p w14:paraId="216DAC60" w14:textId="0AE354E6" w:rsidR="00625C6D" w:rsidRDefault="00625C6D" w:rsidP="00F95A40">
      <w:pPr>
        <w:widowControl/>
        <w:autoSpaceDE/>
        <w:autoSpaceDN/>
        <w:adjustRightInd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4042F4A9" w14:textId="735992FC" w:rsidR="00964E5F" w:rsidRPr="007A24FF" w:rsidRDefault="00964E5F" w:rsidP="007A24FF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 w:rsidRPr="007A24FF">
        <w:rPr>
          <w:sz w:val="20"/>
          <w:szCs w:val="20"/>
        </w:rPr>
        <w:t>Tabla 1</w:t>
      </w:r>
    </w:p>
    <w:p w14:paraId="6AD82BD3" w14:textId="78B39D75" w:rsidR="001A3800" w:rsidRDefault="00953B19" w:rsidP="007A24FF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R</w:t>
      </w:r>
      <w:r w:rsidR="00644151">
        <w:rPr>
          <w:b/>
          <w:smallCaps/>
          <w:sz w:val="22"/>
          <w:szCs w:val="22"/>
        </w:rPr>
        <w:t>e</w:t>
      </w:r>
      <w:r w:rsidR="00644151" w:rsidRPr="006973BD">
        <w:rPr>
          <w:b/>
          <w:smallCaps/>
          <w:sz w:val="22"/>
          <w:szCs w:val="22"/>
        </w:rPr>
        <w:t xml:space="preserve">laciones </w:t>
      </w:r>
      <w:r w:rsidR="00644151">
        <w:rPr>
          <w:b/>
          <w:smallCaps/>
          <w:sz w:val="22"/>
          <w:szCs w:val="22"/>
        </w:rPr>
        <w:t>la</w:t>
      </w:r>
      <w:r w:rsidR="00644151" w:rsidRPr="006973BD">
        <w:rPr>
          <w:b/>
          <w:smallCaps/>
          <w:sz w:val="22"/>
          <w:szCs w:val="22"/>
        </w:rPr>
        <w:t>borales</w:t>
      </w:r>
      <w:r>
        <w:rPr>
          <w:b/>
          <w:smallCaps/>
          <w:sz w:val="22"/>
          <w:szCs w:val="22"/>
        </w:rPr>
        <w:t>, según</w:t>
      </w:r>
      <w:r w:rsidR="00644151">
        <w:rPr>
          <w:b/>
          <w:smallCaps/>
          <w:sz w:val="22"/>
          <w:szCs w:val="22"/>
        </w:rPr>
        <w:t xml:space="preserve"> entidad federativa</w:t>
      </w:r>
    </w:p>
    <w:p w14:paraId="08DD6B4C" w14:textId="6794D0D7" w:rsidR="009F4B84" w:rsidRPr="008A1D2B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18"/>
          <w:szCs w:val="18"/>
        </w:rPr>
      </w:pPr>
      <w:r w:rsidRPr="00F95A40">
        <w:rPr>
          <w:bCs/>
          <w:sz w:val="20"/>
          <w:szCs w:val="20"/>
        </w:rPr>
        <w:t>2022</w:t>
      </w:r>
    </w:p>
    <w:p w14:paraId="20E76BE7" w14:textId="17AFDB26" w:rsidR="00953B19" w:rsidRPr="00F95A40" w:rsidRDefault="00953B19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18"/>
          <w:szCs w:val="18"/>
        </w:rPr>
      </w:pPr>
      <w:r w:rsidRPr="00F95A40">
        <w:rPr>
          <w:bCs/>
          <w:sz w:val="18"/>
          <w:szCs w:val="18"/>
        </w:rPr>
        <w:t>(Distribución porcentual)</w:t>
      </w:r>
    </w:p>
    <w:p w14:paraId="44369484" w14:textId="1BE0A214" w:rsidR="00BA27FF" w:rsidRPr="009F4B84" w:rsidRDefault="003A3BC0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mallCaps/>
          <w:sz w:val="18"/>
          <w:szCs w:val="18"/>
        </w:rPr>
      </w:pPr>
      <w:r>
        <w:rPr>
          <w:bCs/>
          <w:smallCaps/>
          <w:noProof/>
          <w:sz w:val="18"/>
          <w:szCs w:val="18"/>
        </w:rPr>
        <w:drawing>
          <wp:inline distT="0" distB="0" distL="0" distR="0" wp14:anchorId="711B3067" wp14:editId="361C9895">
            <wp:extent cx="6243342" cy="4857750"/>
            <wp:effectExtent l="0" t="0" r="5080" b="0"/>
            <wp:docPr id="2290461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94" cy="4875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C9BD9" w14:textId="6A116FEE" w:rsidR="00F42339" w:rsidRDefault="003A3BC0" w:rsidP="00625C6D">
      <w:pPr>
        <w:pStyle w:val="Textoindependiente"/>
        <w:kinsoku w:val="0"/>
        <w:overflowPunct w:val="0"/>
        <w:ind w:left="567" w:right="39" w:hanging="567"/>
        <w:jc w:val="both"/>
        <w:rPr>
          <w:rFonts w:eastAsia="Calibri"/>
          <w:sz w:val="16"/>
          <w:szCs w:val="16"/>
        </w:rPr>
      </w:pPr>
      <w:r w:rsidRPr="006826CD">
        <w:rPr>
          <w:sz w:val="16"/>
          <w:szCs w:val="16"/>
          <w:vertAlign w:val="superscript"/>
        </w:rPr>
        <w:t>1</w:t>
      </w:r>
      <w:r w:rsidR="00625C6D">
        <w:rPr>
          <w:sz w:val="16"/>
          <w:szCs w:val="16"/>
        </w:rPr>
        <w:tab/>
      </w:r>
      <w:proofErr w:type="gramStart"/>
      <w:r w:rsidR="00F42339" w:rsidRPr="006A0882">
        <w:rPr>
          <w:sz w:val="16"/>
          <w:szCs w:val="16"/>
        </w:rPr>
        <w:t>E</w:t>
      </w:r>
      <w:r w:rsidR="00F42339" w:rsidRPr="006A0882">
        <w:rPr>
          <w:rStyle w:val="ui-provider"/>
          <w:sz w:val="16"/>
          <w:szCs w:val="16"/>
        </w:rPr>
        <w:t>l</w:t>
      </w:r>
      <w:proofErr w:type="gramEnd"/>
      <w:r w:rsidR="00F42339" w:rsidRPr="006A0882">
        <w:rPr>
          <w:rStyle w:val="ui-provider"/>
          <w:sz w:val="16"/>
          <w:szCs w:val="16"/>
        </w:rPr>
        <w:t xml:space="preserve"> </w:t>
      </w:r>
      <w:r w:rsidR="00F42339" w:rsidRPr="006A0882">
        <w:rPr>
          <w:rFonts w:eastAsia="Calibri"/>
          <w:sz w:val="16"/>
          <w:szCs w:val="16"/>
        </w:rPr>
        <w:t xml:space="preserve">Convenio de </w:t>
      </w:r>
      <w:r w:rsidR="00ED2EEC">
        <w:rPr>
          <w:rFonts w:eastAsia="Calibri"/>
          <w:sz w:val="16"/>
          <w:szCs w:val="16"/>
        </w:rPr>
        <w:t>c</w:t>
      </w:r>
      <w:r w:rsidR="00F42339" w:rsidRPr="006A0882">
        <w:rPr>
          <w:rFonts w:eastAsia="Calibri"/>
          <w:sz w:val="16"/>
          <w:szCs w:val="16"/>
        </w:rPr>
        <w:t>olaboración para la captación de registros administrativos en materia de convenios de trabajo prejudiciales, celebrado entre el Centro de Conciliación Laboral de Veracruz de Ignacio de la Llave y el INEGI, se formalizó el 8 de diciembre de 2022. La información objeto del convenio</w:t>
      </w:r>
      <w:r w:rsidR="00E57029">
        <w:rPr>
          <w:rFonts w:eastAsia="Calibri"/>
          <w:sz w:val="16"/>
          <w:szCs w:val="16"/>
        </w:rPr>
        <w:t xml:space="preserve"> se</w:t>
      </w:r>
      <w:r w:rsidR="00F42339" w:rsidRPr="006A0882">
        <w:rPr>
          <w:rFonts w:eastAsia="Calibri"/>
          <w:sz w:val="16"/>
          <w:szCs w:val="16"/>
        </w:rPr>
        <w:t xml:space="preserve"> entrega</w:t>
      </w:r>
      <w:r w:rsidR="00E57029">
        <w:rPr>
          <w:rFonts w:eastAsia="Calibri"/>
          <w:sz w:val="16"/>
          <w:szCs w:val="16"/>
        </w:rPr>
        <w:t xml:space="preserve"> </w:t>
      </w:r>
      <w:r w:rsidR="00F42339" w:rsidRPr="006A0882">
        <w:rPr>
          <w:rFonts w:eastAsia="Calibri"/>
          <w:sz w:val="16"/>
          <w:szCs w:val="16"/>
        </w:rPr>
        <w:t>a partir de enero de 2023. Derivado de lo anterior, la edición 2022 de</w:t>
      </w:r>
      <w:r w:rsidR="00ED2EEC">
        <w:rPr>
          <w:rFonts w:eastAsia="Calibri"/>
          <w:sz w:val="16"/>
          <w:szCs w:val="16"/>
        </w:rPr>
        <w:t xml:space="preserve"> este</w:t>
      </w:r>
      <w:r w:rsidR="00F42339" w:rsidRPr="006A0882">
        <w:rPr>
          <w:rFonts w:eastAsia="Calibri"/>
          <w:sz w:val="16"/>
          <w:szCs w:val="16"/>
        </w:rPr>
        <w:t xml:space="preserve"> programa carece de información sobre los convenios de trabajo prejudiciales celebrados en Veracruz durante ese año.</w:t>
      </w:r>
    </w:p>
    <w:p w14:paraId="2D6B5A68" w14:textId="3594B247" w:rsidR="000A51AB" w:rsidRDefault="00B5252C" w:rsidP="00625C6D">
      <w:pPr>
        <w:kinsoku w:val="0"/>
        <w:overflowPunct w:val="0"/>
        <w:spacing w:after="240"/>
        <w:ind w:left="567" w:right="504" w:hanging="567"/>
        <w:rPr>
          <w:rFonts w:ascii="Arial Negrita" w:hAnsi="Arial Negrita" w:cs="Arial"/>
          <w:b/>
          <w:smallCaps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>(ERLAJUL),</w:t>
      </w:r>
      <w:r>
        <w:rPr>
          <w:rFonts w:ascii="Arial" w:eastAsia="Times New Roman" w:hAnsi="Arial" w:cs="Arial"/>
          <w:sz w:val="16"/>
          <w:szCs w:val="16"/>
        </w:rPr>
        <w:t xml:space="preserve"> 2022</w:t>
      </w:r>
      <w:r w:rsidR="000A51AB">
        <w:rPr>
          <w:rFonts w:ascii="Arial Negrita" w:hAnsi="Arial Negrita"/>
          <w:b/>
          <w:smallCaps/>
        </w:rPr>
        <w:br w:type="page"/>
      </w:r>
    </w:p>
    <w:p w14:paraId="754F4F14" w14:textId="290FDE55" w:rsidR="00644151" w:rsidRPr="00F95A40" w:rsidRDefault="00644151" w:rsidP="00F95A40">
      <w:pPr>
        <w:pStyle w:val="Textoindependiente"/>
        <w:keepNext/>
        <w:kinsoku w:val="0"/>
        <w:overflowPunct w:val="0"/>
        <w:ind w:right="-103"/>
        <w:jc w:val="both"/>
        <w:rPr>
          <w:rFonts w:ascii="Arial Negrita" w:hAnsi="Arial Negrita"/>
          <w:b/>
        </w:rPr>
      </w:pPr>
      <w:r w:rsidRPr="00D06E85">
        <w:rPr>
          <w:rFonts w:ascii="Arial Negrita" w:hAnsi="Arial Negrita"/>
          <w:b/>
          <w:smallCaps/>
        </w:rPr>
        <w:lastRenderedPageBreak/>
        <w:t>Convenios de trabajo prejudiciales</w:t>
      </w:r>
      <w:r w:rsidR="00ED2EEC" w:rsidRPr="00F95A40">
        <w:rPr>
          <w:rStyle w:val="Refdenotaalpie"/>
          <w:rFonts w:ascii="Arial Negrita" w:hAnsi="Arial Negrita"/>
          <w:b/>
        </w:rPr>
        <w:footnoteReference w:id="3"/>
      </w:r>
    </w:p>
    <w:p w14:paraId="0E29CE4D" w14:textId="77777777" w:rsidR="00E57029" w:rsidRPr="009D4FFE" w:rsidRDefault="00E57029" w:rsidP="00F95A40">
      <w:pPr>
        <w:pStyle w:val="Textoindependiente"/>
        <w:keepNext/>
        <w:kinsoku w:val="0"/>
        <w:overflowPunct w:val="0"/>
        <w:ind w:left="0" w:right="-103"/>
        <w:jc w:val="both"/>
        <w:rPr>
          <w:rFonts w:ascii="Arial Negrita" w:hAnsi="Arial Negrita"/>
          <w:b/>
          <w:smallCaps/>
        </w:rPr>
      </w:pPr>
    </w:p>
    <w:p w14:paraId="7E99A401" w14:textId="60D134C6" w:rsidR="00644151" w:rsidRDefault="00327385" w:rsidP="00F95A40">
      <w:pPr>
        <w:pStyle w:val="Textoindependiente"/>
        <w:widowControl/>
        <w:kinsoku w:val="0"/>
        <w:overflowPunct w:val="0"/>
        <w:ind w:left="0" w:right="-103"/>
        <w:jc w:val="both"/>
      </w:pPr>
      <w:r>
        <w:t>Las e</w:t>
      </w:r>
      <w:r w:rsidR="00644151">
        <w:t>stadística</w:t>
      </w:r>
      <w:r w:rsidR="003070B5">
        <w:t>s</w:t>
      </w:r>
      <w:r w:rsidR="00644151">
        <w:t xml:space="preserve"> incluye</w:t>
      </w:r>
      <w:r w:rsidR="003070B5">
        <w:t>n</w:t>
      </w:r>
      <w:r w:rsidR="00644151">
        <w:t xml:space="preserve"> información sobre los acuerdos de índole laboral que se registran en las Juntas Locales de Conciliación y Arbitraje y en los Centros de Conciliación Laboral </w:t>
      </w:r>
      <w:r w:rsidR="00ED2EEC">
        <w:t>l</w:t>
      </w:r>
      <w:r w:rsidR="00644151">
        <w:t>ocales.</w:t>
      </w:r>
    </w:p>
    <w:p w14:paraId="31232A4A" w14:textId="1094A2BE" w:rsidR="003C28E8" w:rsidRDefault="004F17B3" w:rsidP="00F95A40">
      <w:pPr>
        <w:ind w:right="-103"/>
        <w:jc w:val="both"/>
        <w:rPr>
          <w:rFonts w:ascii="Arial" w:hAnsi="Arial" w:cs="Arial"/>
        </w:rPr>
      </w:pPr>
      <w:r w:rsidRPr="003C28E8">
        <w:rPr>
          <w:rFonts w:ascii="Arial" w:hAnsi="Arial" w:cs="Arial"/>
        </w:rPr>
        <w:t xml:space="preserve">Los </w:t>
      </w:r>
      <w:r w:rsidRPr="00F95A40">
        <w:rPr>
          <w:rFonts w:ascii="Arial" w:hAnsi="Arial" w:cs="Arial"/>
          <w:i/>
          <w:iCs/>
        </w:rPr>
        <w:t xml:space="preserve">convenios </w:t>
      </w:r>
      <w:r w:rsidRPr="003C28E8">
        <w:rPr>
          <w:rFonts w:ascii="Arial" w:hAnsi="Arial" w:cs="Arial"/>
        </w:rPr>
        <w:t>de trabajo prejudiciales registraron un</w:t>
      </w:r>
      <w:r w:rsidR="003E129A" w:rsidRPr="003C28E8">
        <w:rPr>
          <w:rFonts w:ascii="Arial" w:hAnsi="Arial" w:cs="Arial"/>
        </w:rPr>
        <w:t>a disminución de</w:t>
      </w:r>
      <w:r w:rsidRPr="003C28E8">
        <w:rPr>
          <w:rFonts w:ascii="Arial" w:hAnsi="Arial" w:cs="Arial"/>
        </w:rPr>
        <w:t xml:space="preserve"> </w:t>
      </w:r>
      <w:r w:rsidR="003E129A" w:rsidRPr="003C28E8">
        <w:rPr>
          <w:rFonts w:ascii="Arial" w:hAnsi="Arial" w:cs="Arial"/>
        </w:rPr>
        <w:t>3</w:t>
      </w:r>
      <w:r w:rsidRPr="003C28E8">
        <w:rPr>
          <w:rFonts w:ascii="Arial" w:hAnsi="Arial" w:cs="Arial"/>
        </w:rPr>
        <w:t>.</w:t>
      </w:r>
      <w:r w:rsidR="003E129A" w:rsidRPr="003C28E8">
        <w:rPr>
          <w:rFonts w:ascii="Arial" w:hAnsi="Arial" w:cs="Arial"/>
        </w:rPr>
        <w:t>4</w:t>
      </w:r>
      <w:r w:rsidR="00625C6D">
        <w:rPr>
          <w:rFonts w:ascii="Arial" w:hAnsi="Arial" w:cs="Arial"/>
        </w:rPr>
        <w:t xml:space="preserve"> </w:t>
      </w:r>
      <w:r w:rsidRPr="003C28E8">
        <w:rPr>
          <w:rFonts w:ascii="Arial" w:hAnsi="Arial" w:cs="Arial"/>
        </w:rPr>
        <w:t>% respecto a 202</w:t>
      </w:r>
      <w:r w:rsidR="003E129A" w:rsidRPr="003C28E8">
        <w:rPr>
          <w:rFonts w:ascii="Arial" w:hAnsi="Arial" w:cs="Arial"/>
        </w:rPr>
        <w:t>1</w:t>
      </w:r>
      <w:r w:rsidRPr="003C28E8">
        <w:rPr>
          <w:rFonts w:ascii="Arial" w:hAnsi="Arial" w:cs="Arial"/>
        </w:rPr>
        <w:t>, al pasar de 36</w:t>
      </w:r>
      <w:r w:rsidR="00105361" w:rsidRPr="003C28E8">
        <w:rPr>
          <w:rFonts w:ascii="Arial" w:hAnsi="Arial" w:cs="Arial"/>
        </w:rPr>
        <w:t>9</w:t>
      </w:r>
      <w:r w:rsidR="00625C6D">
        <w:rPr>
          <w:rFonts w:ascii="Arial" w:hAnsi="Arial" w:cs="Arial"/>
        </w:rPr>
        <w:t xml:space="preserve"> </w:t>
      </w:r>
      <w:r w:rsidR="00105361" w:rsidRPr="003C28E8">
        <w:rPr>
          <w:rFonts w:ascii="Arial" w:hAnsi="Arial" w:cs="Arial"/>
        </w:rPr>
        <w:t>151</w:t>
      </w:r>
      <w:r w:rsidRPr="003C28E8">
        <w:rPr>
          <w:rFonts w:ascii="Arial" w:hAnsi="Arial" w:cs="Arial"/>
        </w:rPr>
        <w:t xml:space="preserve"> casos a 3</w:t>
      </w:r>
      <w:r w:rsidR="00105361" w:rsidRPr="003C28E8">
        <w:rPr>
          <w:rFonts w:ascii="Arial" w:hAnsi="Arial" w:cs="Arial"/>
        </w:rPr>
        <w:t>56</w:t>
      </w:r>
      <w:r w:rsidR="00625C6D">
        <w:rPr>
          <w:rFonts w:ascii="Arial" w:hAnsi="Arial" w:cs="Arial"/>
        </w:rPr>
        <w:t xml:space="preserve"> </w:t>
      </w:r>
      <w:r w:rsidR="00105361" w:rsidRPr="003C28E8">
        <w:rPr>
          <w:rFonts w:ascii="Arial" w:hAnsi="Arial" w:cs="Arial"/>
        </w:rPr>
        <w:t>442</w:t>
      </w:r>
      <w:r w:rsidRPr="003C28E8">
        <w:rPr>
          <w:rFonts w:ascii="Arial" w:hAnsi="Arial" w:cs="Arial"/>
        </w:rPr>
        <w:t>.</w:t>
      </w:r>
    </w:p>
    <w:p w14:paraId="31340500" w14:textId="77777777" w:rsidR="00E57029" w:rsidRPr="003C28E8" w:rsidRDefault="00E57029" w:rsidP="00F95A40">
      <w:pPr>
        <w:jc w:val="both"/>
        <w:rPr>
          <w:rFonts w:ascii="Arial" w:eastAsia="Calibri" w:hAnsi="Arial" w:cs="Arial"/>
          <w:lang w:eastAsia="en-US"/>
        </w:rPr>
      </w:pPr>
    </w:p>
    <w:p w14:paraId="0A334408" w14:textId="3182F37F" w:rsidR="00F021AE" w:rsidRPr="000D236E" w:rsidRDefault="00F021AE" w:rsidP="00E57029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D236E">
        <w:rPr>
          <w:sz w:val="20"/>
          <w:szCs w:val="20"/>
        </w:rPr>
        <w:t>Gr</w:t>
      </w:r>
      <w:r w:rsidR="009F31EA">
        <w:rPr>
          <w:sz w:val="20"/>
          <w:szCs w:val="20"/>
        </w:rPr>
        <w:t>á</w:t>
      </w:r>
      <w:r w:rsidRPr="000D236E">
        <w:rPr>
          <w:sz w:val="20"/>
          <w:szCs w:val="20"/>
        </w:rPr>
        <w:t>fica 2</w:t>
      </w:r>
    </w:p>
    <w:p w14:paraId="1A7BD153" w14:textId="400174D8" w:rsidR="00625C6D" w:rsidRDefault="009B46DB" w:rsidP="00E57029">
      <w:pPr>
        <w:pStyle w:val="Textoindependiente"/>
        <w:keepNext/>
        <w:kinsoku w:val="0"/>
        <w:overflowPunct w:val="0"/>
        <w:ind w:left="0"/>
        <w:jc w:val="center"/>
        <w:rPr>
          <w:rFonts w:ascii="Arial Negrita" w:hAnsi="Arial Negrita"/>
          <w:b/>
          <w:smallCaps/>
          <w:sz w:val="22"/>
          <w:szCs w:val="22"/>
          <w:vertAlign w:val="superscript"/>
        </w:rPr>
      </w:pPr>
      <w:r w:rsidRPr="00774F63">
        <w:rPr>
          <w:rFonts w:ascii="Arial Negrita" w:hAnsi="Arial Negrita"/>
          <w:b/>
          <w:smallCaps/>
          <w:sz w:val="22"/>
          <w:szCs w:val="22"/>
        </w:rPr>
        <w:t>Convenios de trabajo prejudiciales</w:t>
      </w:r>
      <w:r w:rsidR="00F2371B" w:rsidRPr="00F2371B">
        <w:rPr>
          <w:rFonts w:ascii="Arial Negrita" w:hAnsi="Arial Negrita"/>
          <w:b/>
          <w:smallCaps/>
          <w:sz w:val="22"/>
          <w:szCs w:val="22"/>
          <w:vertAlign w:val="superscript"/>
        </w:rPr>
        <w:t>1</w:t>
      </w:r>
      <w:r w:rsidR="00953B19">
        <w:rPr>
          <w:rFonts w:ascii="Arial Negrita" w:hAnsi="Arial Negrita"/>
          <w:b/>
          <w:smallCaps/>
          <w:sz w:val="22"/>
          <w:szCs w:val="22"/>
          <w:vertAlign w:val="superscript"/>
        </w:rPr>
        <w:t>/</w:t>
      </w:r>
    </w:p>
    <w:p w14:paraId="1B1A14C0" w14:textId="714A5EF7" w:rsidR="00625C6D" w:rsidRPr="00F95A40" w:rsidRDefault="00625C6D" w:rsidP="00E57029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2015-</w:t>
      </w:r>
      <w:r w:rsidR="00E33999" w:rsidRPr="00F95A40">
        <w:rPr>
          <w:bCs/>
          <w:sz w:val="20"/>
          <w:szCs w:val="20"/>
        </w:rPr>
        <w:t>20</w:t>
      </w:r>
      <w:r w:rsidRPr="00F95A40">
        <w:rPr>
          <w:bCs/>
          <w:sz w:val="20"/>
          <w:szCs w:val="20"/>
        </w:rPr>
        <w:t>22</w:t>
      </w:r>
    </w:p>
    <w:p w14:paraId="6E8C6A1C" w14:textId="0FC001B7" w:rsidR="00DF2EC2" w:rsidRPr="006973BD" w:rsidRDefault="00D17ADC" w:rsidP="00B1622A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D17ADC">
        <w:rPr>
          <w:b/>
          <w:smallCaps/>
          <w:noProof/>
          <w:sz w:val="22"/>
          <w:szCs w:val="22"/>
        </w:rPr>
        <w:drawing>
          <wp:inline distT="0" distB="0" distL="0" distR="0" wp14:anchorId="540E8D11" wp14:editId="514B5F24">
            <wp:extent cx="6182365" cy="3132814"/>
            <wp:effectExtent l="0" t="0" r="0" b="0"/>
            <wp:docPr id="1157553789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53789" name="Imagen 1" descr="Gráfico, Gráfico de barras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6824" cy="314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E29A8" w14:textId="53931A89" w:rsidR="00F42339" w:rsidRPr="006A0882" w:rsidRDefault="00F2371B" w:rsidP="00E33999">
      <w:pPr>
        <w:pStyle w:val="Textoindependiente"/>
        <w:kinsoku w:val="0"/>
        <w:overflowPunct w:val="0"/>
        <w:ind w:left="567" w:right="39" w:hanging="567"/>
        <w:jc w:val="both"/>
        <w:rPr>
          <w:sz w:val="16"/>
          <w:szCs w:val="16"/>
        </w:rPr>
      </w:pPr>
      <w:r w:rsidRPr="00F2371B">
        <w:rPr>
          <w:sz w:val="16"/>
          <w:szCs w:val="16"/>
          <w:vertAlign w:val="superscript"/>
        </w:rPr>
        <w:t>1</w:t>
      </w:r>
      <w:r w:rsidR="00953B19">
        <w:rPr>
          <w:sz w:val="16"/>
          <w:szCs w:val="16"/>
          <w:vertAlign w:val="superscript"/>
        </w:rPr>
        <w:t>/</w:t>
      </w:r>
      <w:r w:rsidR="00E33999">
        <w:rPr>
          <w:sz w:val="16"/>
          <w:szCs w:val="16"/>
        </w:rPr>
        <w:tab/>
      </w:r>
      <w:r w:rsidR="00F42339" w:rsidRPr="006A0882">
        <w:rPr>
          <w:sz w:val="16"/>
          <w:szCs w:val="16"/>
        </w:rPr>
        <w:t>E</w:t>
      </w:r>
      <w:r w:rsidR="00F42339" w:rsidRPr="006A0882">
        <w:rPr>
          <w:rStyle w:val="ui-provider"/>
          <w:sz w:val="16"/>
          <w:szCs w:val="16"/>
        </w:rPr>
        <w:t xml:space="preserve">l </w:t>
      </w:r>
      <w:r w:rsidR="00F42339" w:rsidRPr="006A0882">
        <w:rPr>
          <w:rFonts w:eastAsia="Calibri"/>
          <w:sz w:val="16"/>
          <w:szCs w:val="16"/>
        </w:rPr>
        <w:t xml:space="preserve">Convenio de </w:t>
      </w:r>
      <w:r w:rsidR="00E57029">
        <w:rPr>
          <w:rFonts w:eastAsia="Calibri"/>
          <w:sz w:val="16"/>
          <w:szCs w:val="16"/>
        </w:rPr>
        <w:t>c</w:t>
      </w:r>
      <w:r w:rsidR="00F42339" w:rsidRPr="006A0882">
        <w:rPr>
          <w:rFonts w:eastAsia="Calibri"/>
          <w:sz w:val="16"/>
          <w:szCs w:val="16"/>
        </w:rPr>
        <w:t xml:space="preserve">olaboración para la captación de registros administrativos en materia de convenios de trabajo prejudiciales, celebrado entre el Centro de Conciliación Laboral de Veracruz de Ignacio de la Llave y el INEGI, se formalizó el 8 de diciembre de 2022. La información objeto del convenio </w:t>
      </w:r>
      <w:r w:rsidR="00E57029">
        <w:rPr>
          <w:rFonts w:eastAsia="Calibri"/>
          <w:sz w:val="16"/>
          <w:szCs w:val="16"/>
        </w:rPr>
        <w:t>se</w:t>
      </w:r>
      <w:r w:rsidR="00F42339" w:rsidRPr="006A0882">
        <w:rPr>
          <w:rFonts w:eastAsia="Calibri"/>
          <w:sz w:val="16"/>
          <w:szCs w:val="16"/>
        </w:rPr>
        <w:t xml:space="preserve"> entrega a partir de enero de 2023. Derivado de lo anterior, la edición 2022 del programa carece de información sobre los convenios de trabajo prejudiciales celebrados en Veracruz durante ese año.</w:t>
      </w:r>
    </w:p>
    <w:p w14:paraId="50F6EFF1" w14:textId="492A09D6" w:rsidR="000A51AB" w:rsidRPr="00B57FAC" w:rsidRDefault="000A51AB" w:rsidP="00E33999">
      <w:pPr>
        <w:kinsoku w:val="0"/>
        <w:overflowPunct w:val="0"/>
        <w:spacing w:after="240"/>
        <w:ind w:left="567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</w:t>
      </w:r>
      <w:r w:rsidR="00E67DB3">
        <w:rPr>
          <w:rFonts w:ascii="Arial" w:eastAsia="Times New Roman" w:hAnsi="Arial" w:cs="Arial"/>
          <w:sz w:val="16"/>
          <w:szCs w:val="16"/>
        </w:rPr>
        <w:t xml:space="preserve"> (ERLAJUL),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E33999">
        <w:rPr>
          <w:rFonts w:ascii="Arial" w:eastAsia="Times New Roman" w:hAnsi="Arial" w:cs="Arial"/>
          <w:sz w:val="16"/>
          <w:szCs w:val="16"/>
        </w:rPr>
        <w:t xml:space="preserve">2015 a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3F4BF7D0" w14:textId="1EF189C8" w:rsidR="00964E5F" w:rsidRPr="00D04CB8" w:rsidRDefault="00964E5F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D04CB8">
        <w:rPr>
          <w:sz w:val="20"/>
          <w:szCs w:val="20"/>
        </w:rPr>
        <w:lastRenderedPageBreak/>
        <w:t>Mapa 1</w:t>
      </w:r>
    </w:p>
    <w:p w14:paraId="6735B060" w14:textId="2A609758" w:rsidR="00644151" w:rsidRDefault="00644151" w:rsidP="000D236E">
      <w:pPr>
        <w:pStyle w:val="Textoindependiente"/>
        <w:keepNext/>
        <w:kinsoku w:val="0"/>
        <w:overflowPunct w:val="0"/>
        <w:ind w:left="924"/>
        <w:jc w:val="center"/>
        <w:rPr>
          <w:rFonts w:ascii="Arial Negrita" w:hAnsi="Arial Negrita"/>
          <w:b/>
          <w:smallCaps/>
          <w:sz w:val="22"/>
          <w:szCs w:val="22"/>
        </w:rPr>
      </w:pPr>
      <w:r w:rsidRPr="00774F63">
        <w:rPr>
          <w:rFonts w:ascii="Arial Negrita" w:hAnsi="Arial Negrita"/>
          <w:b/>
          <w:smallCaps/>
          <w:sz w:val="22"/>
          <w:szCs w:val="22"/>
        </w:rPr>
        <w:t>Convenios de trabajo prejudiciales</w:t>
      </w:r>
      <w:r w:rsidR="00953B19">
        <w:rPr>
          <w:rFonts w:ascii="Arial Negrita" w:hAnsi="Arial Negrita"/>
          <w:b/>
          <w:smallCaps/>
          <w:sz w:val="22"/>
          <w:szCs w:val="22"/>
        </w:rPr>
        <w:t>, según</w:t>
      </w:r>
      <w:r w:rsidRPr="00774F63">
        <w:rPr>
          <w:rFonts w:ascii="Arial Negrita" w:hAnsi="Arial Negrita"/>
          <w:b/>
          <w:smallCaps/>
          <w:sz w:val="22"/>
          <w:szCs w:val="22"/>
        </w:rPr>
        <w:t xml:space="preserve"> entidad federativa</w:t>
      </w:r>
    </w:p>
    <w:p w14:paraId="47A56C17" w14:textId="28242559" w:rsidR="009F4B84" w:rsidRPr="00F95A40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rFonts w:ascii="Arial Negrita" w:hAnsi="Arial Negrita"/>
          <w:b/>
          <w:sz w:val="20"/>
          <w:szCs w:val="20"/>
        </w:rPr>
      </w:pPr>
      <w:r w:rsidRPr="00F95A40">
        <w:rPr>
          <w:bCs/>
          <w:sz w:val="20"/>
          <w:szCs w:val="20"/>
        </w:rPr>
        <w:t>2022</w:t>
      </w:r>
    </w:p>
    <w:p w14:paraId="11BC3004" w14:textId="72F4B563" w:rsidR="00644151" w:rsidRDefault="009330D9" w:rsidP="006E12BD">
      <w:pPr>
        <w:pStyle w:val="Textoindependiente"/>
        <w:kinsoku w:val="0"/>
        <w:overflowPunct w:val="0"/>
        <w:ind w:left="0"/>
        <w:jc w:val="center"/>
      </w:pPr>
      <w:r w:rsidRPr="009330D9">
        <w:rPr>
          <w:noProof/>
        </w:rPr>
        <w:drawing>
          <wp:inline distT="0" distB="0" distL="0" distR="0" wp14:anchorId="30DF9A8A" wp14:editId="4B7A1909">
            <wp:extent cx="6261100" cy="3816985"/>
            <wp:effectExtent l="0" t="0" r="6350" b="0"/>
            <wp:docPr id="2055330390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30390" name="Imagen 1" descr="Map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3BB95" w14:textId="2DAA5DC7" w:rsidR="00F42339" w:rsidRDefault="004F3E63" w:rsidP="00F95A40">
      <w:pPr>
        <w:pStyle w:val="Textoindependiente"/>
        <w:kinsoku w:val="0"/>
        <w:overflowPunct w:val="0"/>
        <w:ind w:left="567" w:right="39" w:hanging="567"/>
        <w:jc w:val="both"/>
        <w:rPr>
          <w:rFonts w:eastAsia="Calibri"/>
          <w:sz w:val="16"/>
          <w:szCs w:val="16"/>
        </w:rPr>
      </w:pPr>
      <w:r>
        <w:rPr>
          <w:sz w:val="16"/>
          <w:szCs w:val="16"/>
        </w:rPr>
        <w:t>Nota:</w:t>
      </w:r>
      <w:r w:rsidR="00F42339">
        <w:rPr>
          <w:sz w:val="16"/>
          <w:szCs w:val="16"/>
        </w:rPr>
        <w:t xml:space="preserve"> </w:t>
      </w:r>
      <w:r w:rsidR="00CA242E">
        <w:rPr>
          <w:sz w:val="16"/>
          <w:szCs w:val="16"/>
        </w:rPr>
        <w:t xml:space="preserve">  </w:t>
      </w:r>
      <w:r w:rsidR="00F42339" w:rsidRPr="006A0882">
        <w:rPr>
          <w:sz w:val="16"/>
          <w:szCs w:val="16"/>
        </w:rPr>
        <w:t>E</w:t>
      </w:r>
      <w:r w:rsidR="00F42339" w:rsidRPr="006A0882">
        <w:rPr>
          <w:rStyle w:val="ui-provider"/>
          <w:sz w:val="16"/>
          <w:szCs w:val="16"/>
        </w:rPr>
        <w:t xml:space="preserve">l </w:t>
      </w:r>
      <w:r w:rsidR="00F42339" w:rsidRPr="006A0882">
        <w:rPr>
          <w:rFonts w:eastAsia="Calibri"/>
          <w:sz w:val="16"/>
          <w:szCs w:val="16"/>
        </w:rPr>
        <w:t xml:space="preserve">Convenio de </w:t>
      </w:r>
      <w:r w:rsidR="00E57029">
        <w:rPr>
          <w:rFonts w:eastAsia="Calibri"/>
          <w:sz w:val="16"/>
          <w:szCs w:val="16"/>
        </w:rPr>
        <w:t>c</w:t>
      </w:r>
      <w:r w:rsidR="00F42339" w:rsidRPr="006A0882">
        <w:rPr>
          <w:rFonts w:eastAsia="Calibri"/>
          <w:sz w:val="16"/>
          <w:szCs w:val="16"/>
        </w:rPr>
        <w:t>olaboración para la captación de registros administrativos en materia de convenios de trabajo prejudiciales, celebrado entre el Centro de Conciliación Laboral de Veracruz de Ignacio de la Llave y el INEGI, se formalizó el 8 de diciembre de 2022. La información objeto del convenio</w:t>
      </w:r>
      <w:r w:rsidR="00E57029">
        <w:rPr>
          <w:rFonts w:eastAsia="Calibri"/>
          <w:sz w:val="16"/>
          <w:szCs w:val="16"/>
        </w:rPr>
        <w:t xml:space="preserve"> se</w:t>
      </w:r>
      <w:r w:rsidR="00F42339" w:rsidRPr="006A0882">
        <w:rPr>
          <w:rFonts w:eastAsia="Calibri"/>
          <w:sz w:val="16"/>
          <w:szCs w:val="16"/>
        </w:rPr>
        <w:t xml:space="preserve"> entrega a partir de enero de 2023. Derivado de lo anterior, la edición 2022 del programa carece de información sobre los convenios de trabajo prejudiciales celebrados en Veracruz durante ese año.</w:t>
      </w:r>
    </w:p>
    <w:p w14:paraId="2BD32933" w14:textId="0B449C0F" w:rsidR="000A51AB" w:rsidRPr="00B57FAC" w:rsidRDefault="000A51AB" w:rsidP="007A2126">
      <w:pPr>
        <w:kinsoku w:val="0"/>
        <w:overflowPunct w:val="0"/>
        <w:spacing w:after="240"/>
        <w:ind w:left="567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598D2979" w14:textId="77777777" w:rsidR="00CA242E" w:rsidRDefault="00CA242E" w:rsidP="002731E7">
      <w:pPr>
        <w:pStyle w:val="Textoindependiente"/>
        <w:kinsoku w:val="0"/>
        <w:overflowPunct w:val="0"/>
        <w:ind w:left="0"/>
        <w:jc w:val="both"/>
      </w:pPr>
    </w:p>
    <w:p w14:paraId="1849184F" w14:textId="2C697127" w:rsidR="0077075D" w:rsidRDefault="002731E7" w:rsidP="00F95A40">
      <w:pPr>
        <w:pStyle w:val="Textoindependiente"/>
        <w:kinsoku w:val="0"/>
        <w:overflowPunct w:val="0"/>
        <w:ind w:left="0" w:right="-103"/>
        <w:jc w:val="both"/>
      </w:pPr>
      <w:r>
        <w:t xml:space="preserve">A nivel nacional, </w:t>
      </w:r>
      <w:r w:rsidR="00605E05">
        <w:t>siete</w:t>
      </w:r>
      <w:r>
        <w:t xml:space="preserve"> trabajadores</w:t>
      </w:r>
      <w:r w:rsidR="00B968BE">
        <w:t xml:space="preserve"> o trabajadoras</w:t>
      </w:r>
      <w:r>
        <w:t xml:space="preserve"> por cada mil personas ocupadas</w:t>
      </w:r>
      <w:r>
        <w:rPr>
          <w:rStyle w:val="Refdenotaalpie"/>
        </w:rPr>
        <w:footnoteReference w:id="4"/>
      </w:r>
      <w:r>
        <w:t xml:space="preserve"> suscribieron convenios de trabajo prejudiciales.</w:t>
      </w:r>
      <w:r w:rsidR="004D7895">
        <w:t xml:space="preserve"> Ahora bien, por </w:t>
      </w:r>
      <w:r w:rsidR="0077075D">
        <w:t>entidad federativa, sobresal</w:t>
      </w:r>
      <w:r w:rsidR="001B7C9A">
        <w:t>iero</w:t>
      </w:r>
      <w:r w:rsidR="0077075D">
        <w:t>n</w:t>
      </w:r>
      <w:r w:rsidR="00D94EB7">
        <w:t>:</w:t>
      </w:r>
      <w:r w:rsidR="0077075D">
        <w:t xml:space="preserve"> Coahuila de Zaragoza</w:t>
      </w:r>
      <w:r w:rsidR="00D94EB7">
        <w:t>,</w:t>
      </w:r>
      <w:r w:rsidR="0077075D">
        <w:t xml:space="preserve"> con 3</w:t>
      </w:r>
      <w:r w:rsidR="003E129A">
        <w:t>2</w:t>
      </w:r>
      <w:r w:rsidR="00A81877">
        <w:t xml:space="preserve"> trabajadores</w:t>
      </w:r>
      <w:r w:rsidR="00B968BE">
        <w:t xml:space="preserve"> o trabajadoras</w:t>
      </w:r>
      <w:r w:rsidR="00D94EB7">
        <w:t>;</w:t>
      </w:r>
      <w:r w:rsidR="003E129A">
        <w:t xml:space="preserve"> Sonora</w:t>
      </w:r>
      <w:r w:rsidR="00D94EB7">
        <w:t>,</w:t>
      </w:r>
      <w:r w:rsidR="003E129A">
        <w:t xml:space="preserve"> </w:t>
      </w:r>
      <w:r w:rsidR="001B30DE">
        <w:t xml:space="preserve">con </w:t>
      </w:r>
      <w:r w:rsidR="003E129A">
        <w:t>26</w:t>
      </w:r>
      <w:r w:rsidR="00D94EB7">
        <w:t>;</w:t>
      </w:r>
      <w:r w:rsidR="003E129A">
        <w:t xml:space="preserve"> Yucatán</w:t>
      </w:r>
      <w:r w:rsidR="00D94EB7">
        <w:t>,</w:t>
      </w:r>
      <w:r w:rsidR="003E129A">
        <w:t xml:space="preserve"> </w:t>
      </w:r>
      <w:r w:rsidR="001B30DE">
        <w:t xml:space="preserve">con </w:t>
      </w:r>
      <w:r w:rsidR="003E129A">
        <w:t>14</w:t>
      </w:r>
      <w:r w:rsidR="00D94EB7">
        <w:t>;</w:t>
      </w:r>
      <w:r w:rsidR="003E129A">
        <w:t xml:space="preserve"> Campeche</w:t>
      </w:r>
      <w:r w:rsidR="00D94EB7">
        <w:t>,</w:t>
      </w:r>
      <w:r w:rsidR="003E129A">
        <w:t xml:space="preserve"> </w:t>
      </w:r>
      <w:r w:rsidR="001B30DE">
        <w:t xml:space="preserve">con </w:t>
      </w:r>
      <w:r w:rsidR="003E129A">
        <w:t>12</w:t>
      </w:r>
      <w:r w:rsidR="00D94EB7">
        <w:t>;</w:t>
      </w:r>
      <w:r w:rsidR="003E129A">
        <w:t xml:space="preserve"> Jalisco y Durango</w:t>
      </w:r>
      <w:r w:rsidR="00D94EB7">
        <w:t>,</w:t>
      </w:r>
      <w:r w:rsidR="00B42ACD">
        <w:t xml:space="preserve"> con 11 y </w:t>
      </w:r>
      <w:r w:rsidR="003E129A">
        <w:t>San Luis Potosí, Tamaulipas y Sinaloa</w:t>
      </w:r>
      <w:r w:rsidR="00D94EB7">
        <w:t>,</w:t>
      </w:r>
      <w:r w:rsidR="003E129A">
        <w:t xml:space="preserve"> con </w:t>
      </w:r>
      <w:r w:rsidR="00CA242E">
        <w:t>10</w:t>
      </w:r>
      <w:r w:rsidR="003E129A">
        <w:t xml:space="preserve"> </w:t>
      </w:r>
      <w:r w:rsidR="0077075D">
        <w:t>trabajadores</w:t>
      </w:r>
      <w:r w:rsidR="00B968BE">
        <w:t xml:space="preserve"> o trabajadoras</w:t>
      </w:r>
      <w:r w:rsidR="00A81877">
        <w:t xml:space="preserve"> cada un</w:t>
      </w:r>
      <w:r w:rsidR="00392697">
        <w:t>a</w:t>
      </w:r>
      <w:r w:rsidR="0077075D">
        <w:t>.</w:t>
      </w:r>
    </w:p>
    <w:p w14:paraId="0B42415C" w14:textId="77777777" w:rsidR="0077075D" w:rsidRDefault="0077075D" w:rsidP="00D04CB8">
      <w:pPr>
        <w:pStyle w:val="Textoindependiente"/>
        <w:kinsoku w:val="0"/>
        <w:overflowPunct w:val="0"/>
        <w:ind w:left="0"/>
        <w:jc w:val="center"/>
      </w:pPr>
    </w:p>
    <w:p w14:paraId="6B6B9C63" w14:textId="56BF25D5" w:rsidR="0077075D" w:rsidRPr="00D04CB8" w:rsidRDefault="0077075D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D04CB8">
        <w:rPr>
          <w:sz w:val="20"/>
          <w:szCs w:val="20"/>
        </w:rPr>
        <w:lastRenderedPageBreak/>
        <w:t xml:space="preserve">Gráfica </w:t>
      </w:r>
      <w:r w:rsidR="00F021AE">
        <w:rPr>
          <w:sz w:val="20"/>
          <w:szCs w:val="20"/>
        </w:rPr>
        <w:t>3</w:t>
      </w:r>
    </w:p>
    <w:p w14:paraId="08689B04" w14:textId="572748AB" w:rsidR="0077075D" w:rsidRDefault="00237A01" w:rsidP="00E33999">
      <w:pPr>
        <w:pStyle w:val="Textoindependiente"/>
        <w:keepNext/>
        <w:tabs>
          <w:tab w:val="left" w:pos="405"/>
          <w:tab w:val="center" w:pos="4930"/>
        </w:tabs>
        <w:kinsoku w:val="0"/>
        <w:overflowPunct w:val="0"/>
        <w:ind w:left="0"/>
        <w:jc w:val="center"/>
        <w:rPr>
          <w:rFonts w:ascii="Arial Negrita" w:hAnsi="Arial Negrita"/>
          <w:b/>
          <w:smallCaps/>
          <w:sz w:val="22"/>
          <w:szCs w:val="22"/>
        </w:rPr>
      </w:pPr>
      <w:r>
        <w:rPr>
          <w:rFonts w:ascii="Arial Negrita" w:hAnsi="Arial Negrita"/>
          <w:b/>
          <w:smallCaps/>
          <w:sz w:val="22"/>
          <w:szCs w:val="22"/>
        </w:rPr>
        <w:t xml:space="preserve">Tasa de </w:t>
      </w:r>
      <w:r w:rsidR="00B968BE">
        <w:rPr>
          <w:rFonts w:ascii="Arial Negrita" w:hAnsi="Arial Negrita"/>
          <w:b/>
          <w:smallCaps/>
          <w:sz w:val="22"/>
          <w:szCs w:val="22"/>
        </w:rPr>
        <w:t xml:space="preserve">las y los </w:t>
      </w:r>
      <w:r>
        <w:rPr>
          <w:rFonts w:ascii="Arial Negrita" w:hAnsi="Arial Negrita"/>
          <w:b/>
          <w:smallCaps/>
          <w:sz w:val="22"/>
          <w:szCs w:val="22"/>
        </w:rPr>
        <w:t>trabajadores</w:t>
      </w:r>
      <w:r w:rsidR="00B968BE">
        <w:rPr>
          <w:rFonts w:ascii="Arial Negrita" w:hAnsi="Arial Negrita"/>
          <w:b/>
          <w:smallCaps/>
          <w:sz w:val="22"/>
          <w:szCs w:val="22"/>
        </w:rPr>
        <w:t xml:space="preserve"> </w:t>
      </w:r>
      <w:r>
        <w:rPr>
          <w:rFonts w:ascii="Arial Negrita" w:hAnsi="Arial Negrita"/>
          <w:b/>
          <w:smallCaps/>
          <w:sz w:val="22"/>
          <w:szCs w:val="22"/>
        </w:rPr>
        <w:t>que suscribieron c</w:t>
      </w:r>
      <w:r w:rsidRPr="00774F63">
        <w:rPr>
          <w:rFonts w:ascii="Arial Negrita" w:hAnsi="Arial Negrita"/>
          <w:b/>
          <w:smallCaps/>
          <w:sz w:val="22"/>
          <w:szCs w:val="22"/>
        </w:rPr>
        <w:t xml:space="preserve">onvenios </w:t>
      </w:r>
      <w:r>
        <w:rPr>
          <w:rFonts w:ascii="Arial Negrita" w:hAnsi="Arial Negrita"/>
          <w:b/>
          <w:smallCaps/>
          <w:sz w:val="22"/>
          <w:szCs w:val="22"/>
        </w:rPr>
        <w:t>de</w:t>
      </w:r>
      <w:r w:rsidRPr="00774F63">
        <w:rPr>
          <w:rFonts w:ascii="Arial Negrita" w:hAnsi="Arial Negrita"/>
          <w:b/>
          <w:smallCaps/>
          <w:sz w:val="22"/>
          <w:szCs w:val="22"/>
        </w:rPr>
        <w:t xml:space="preserve"> trabajo prejudiciales</w:t>
      </w:r>
    </w:p>
    <w:p w14:paraId="34A3A833" w14:textId="7C828F6C" w:rsidR="00644151" w:rsidRDefault="00644151" w:rsidP="000D236E">
      <w:pPr>
        <w:pStyle w:val="Textoindependiente"/>
        <w:keepNext/>
        <w:keepLines/>
        <w:kinsoku w:val="0"/>
        <w:overflowPunct w:val="0"/>
        <w:ind w:left="0"/>
        <w:jc w:val="center"/>
        <w:rPr>
          <w:rFonts w:ascii="Arial Negrita" w:hAnsi="Arial Negrita"/>
          <w:b/>
          <w:smallCaps/>
          <w:sz w:val="22"/>
          <w:szCs w:val="22"/>
          <w:vertAlign w:val="superscript"/>
        </w:rPr>
      </w:pPr>
      <w:r w:rsidRPr="00774F63">
        <w:rPr>
          <w:rFonts w:ascii="Arial Negrita" w:hAnsi="Arial Negrita"/>
          <w:b/>
          <w:smallCaps/>
          <w:sz w:val="22"/>
          <w:szCs w:val="22"/>
        </w:rPr>
        <w:t xml:space="preserve">por </w:t>
      </w:r>
      <w:r>
        <w:rPr>
          <w:rFonts w:ascii="Arial Negrita" w:hAnsi="Arial Negrita"/>
          <w:b/>
          <w:smallCaps/>
          <w:sz w:val="22"/>
          <w:szCs w:val="22"/>
        </w:rPr>
        <w:t xml:space="preserve">cada </w:t>
      </w:r>
      <w:r w:rsidR="002A7B27">
        <w:rPr>
          <w:rFonts w:ascii="Arial Negrita" w:hAnsi="Arial Negrita"/>
          <w:b/>
          <w:smallCaps/>
          <w:sz w:val="22"/>
          <w:szCs w:val="22"/>
        </w:rPr>
        <w:t>mil</w:t>
      </w:r>
      <w:r>
        <w:rPr>
          <w:rFonts w:ascii="Arial Negrita" w:hAnsi="Arial Negrita"/>
          <w:b/>
          <w:smallCaps/>
          <w:sz w:val="22"/>
          <w:szCs w:val="22"/>
        </w:rPr>
        <w:t xml:space="preserve"> personas </w:t>
      </w:r>
      <w:r w:rsidR="00BB394E">
        <w:rPr>
          <w:rFonts w:ascii="Arial Negrita" w:hAnsi="Arial Negrita"/>
          <w:b/>
          <w:smallCaps/>
          <w:sz w:val="22"/>
          <w:szCs w:val="22"/>
        </w:rPr>
        <w:t>ocupadas</w:t>
      </w:r>
      <w:r w:rsidR="00AE2606" w:rsidRPr="006826CD">
        <w:rPr>
          <w:rFonts w:ascii="Arial Negrita" w:hAnsi="Arial Negrita"/>
          <w:b/>
          <w:smallCaps/>
          <w:sz w:val="22"/>
          <w:szCs w:val="22"/>
          <w:vertAlign w:val="superscript"/>
        </w:rPr>
        <w:t>1</w:t>
      </w:r>
      <w:r w:rsidR="00953B19">
        <w:rPr>
          <w:rFonts w:ascii="Arial Negrita" w:hAnsi="Arial Negrita"/>
          <w:b/>
          <w:smallCaps/>
          <w:sz w:val="22"/>
          <w:szCs w:val="22"/>
          <w:vertAlign w:val="superscript"/>
        </w:rPr>
        <w:t>/</w:t>
      </w:r>
    </w:p>
    <w:p w14:paraId="59820FEB" w14:textId="74FDAF16" w:rsidR="009F4B84" w:rsidRPr="00F95A40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2022</w:t>
      </w:r>
    </w:p>
    <w:p w14:paraId="2DD73CF3" w14:textId="53E7AEA0" w:rsidR="008B2477" w:rsidRDefault="00B23FDA" w:rsidP="008B2477">
      <w:pPr>
        <w:pStyle w:val="Textoindependiente"/>
        <w:keepNext/>
        <w:keepLines/>
        <w:kinsoku w:val="0"/>
        <w:overflowPunct w:val="0"/>
        <w:ind w:left="0"/>
        <w:jc w:val="both"/>
        <w:rPr>
          <w:rFonts w:eastAsia="Times New Roman"/>
          <w:sz w:val="16"/>
          <w:szCs w:val="16"/>
        </w:rPr>
      </w:pPr>
      <w:r w:rsidRPr="00B23FDA">
        <w:rPr>
          <w:noProof/>
        </w:rPr>
        <w:t xml:space="preserve"> </w:t>
      </w:r>
      <w:r w:rsidR="001114A1" w:rsidRPr="001114A1">
        <w:rPr>
          <w:rFonts w:eastAsia="Times New Roman"/>
          <w:noProof/>
          <w:sz w:val="16"/>
          <w:szCs w:val="16"/>
        </w:rPr>
        <w:drawing>
          <wp:inline distT="0" distB="0" distL="0" distR="0" wp14:anchorId="3909B12C" wp14:editId="47B919E1">
            <wp:extent cx="6225871" cy="5434365"/>
            <wp:effectExtent l="0" t="0" r="3810" b="0"/>
            <wp:docPr id="438168705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68705" name="Imagen 1" descr="Gráf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7099" cy="543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AD3D" w14:textId="6100A09C" w:rsidR="008B2477" w:rsidRDefault="008B2477" w:rsidP="001F61D4">
      <w:pPr>
        <w:pStyle w:val="Textoindependiente"/>
        <w:keepNext/>
        <w:keepLines/>
        <w:kinsoku w:val="0"/>
        <w:overflowPunct w:val="0"/>
        <w:ind w:left="567" w:hanging="567"/>
        <w:jc w:val="both"/>
        <w:rPr>
          <w:sz w:val="16"/>
          <w:szCs w:val="16"/>
        </w:rPr>
      </w:pPr>
      <w:r w:rsidRPr="00F93FC2">
        <w:rPr>
          <w:rFonts w:eastAsia="Times New Roman"/>
          <w:sz w:val="16"/>
          <w:szCs w:val="16"/>
          <w:vertAlign w:val="superscript"/>
        </w:rPr>
        <w:t>1</w:t>
      </w:r>
      <w:r w:rsidR="00953B19">
        <w:rPr>
          <w:rFonts w:eastAsia="Times New Roman"/>
          <w:sz w:val="16"/>
          <w:szCs w:val="16"/>
          <w:vertAlign w:val="superscript"/>
        </w:rPr>
        <w:t>/</w:t>
      </w:r>
      <w:r w:rsidR="001F61D4">
        <w:rPr>
          <w:rFonts w:eastAsia="Times New Roman"/>
          <w:sz w:val="16"/>
          <w:szCs w:val="16"/>
          <w:vertAlign w:val="superscript"/>
        </w:rPr>
        <w:tab/>
      </w:r>
      <w:r w:rsidRPr="00F42339">
        <w:rPr>
          <w:sz w:val="16"/>
          <w:szCs w:val="16"/>
        </w:rPr>
        <w:t xml:space="preserve">Información correspondiente al </w:t>
      </w:r>
      <w:r w:rsidRPr="004E77F6">
        <w:rPr>
          <w:sz w:val="16"/>
          <w:szCs w:val="16"/>
        </w:rPr>
        <w:t>cuarto trimestre de 2022 de la ENOE</w:t>
      </w:r>
      <w:r w:rsidR="004D7895" w:rsidRPr="00F95A40">
        <w:rPr>
          <w:sz w:val="16"/>
          <w:szCs w:val="16"/>
          <w:vertAlign w:val="superscript"/>
        </w:rPr>
        <w:t>N</w:t>
      </w:r>
      <w:r w:rsidRPr="00F42339">
        <w:rPr>
          <w:sz w:val="16"/>
          <w:szCs w:val="16"/>
        </w:rPr>
        <w:t xml:space="preserve">. El personal ocupado corresponde a «Personas de 15  años </w:t>
      </w:r>
      <w:r w:rsidR="000B1E74">
        <w:rPr>
          <w:sz w:val="16"/>
          <w:szCs w:val="16"/>
        </w:rPr>
        <w:t xml:space="preserve">de edad </w:t>
      </w:r>
      <w:r w:rsidR="00E57029">
        <w:rPr>
          <w:sz w:val="16"/>
          <w:szCs w:val="16"/>
        </w:rPr>
        <w:t xml:space="preserve">y más </w:t>
      </w:r>
      <w:r w:rsidRPr="00F42339">
        <w:rPr>
          <w:sz w:val="16"/>
          <w:szCs w:val="16"/>
        </w:rPr>
        <w:t>que en la semana de referencia realizaron alguna actividad económica durante al menos una hora. Incluye a las y los ocupados que tenían trabajo, pero no lo desempeñaron temporalmente por alguna razón, sin que por ello perdieran el vínculo laboral con este; así</w:t>
      </w:r>
      <w:r w:rsidRPr="009C3ECE">
        <w:rPr>
          <w:sz w:val="16"/>
          <w:szCs w:val="16"/>
        </w:rPr>
        <w:t xml:space="preserve"> como a quienes ayudaron en alguna actividad económica sin recibir un sueldo o salario</w:t>
      </w:r>
      <w:r>
        <w:rPr>
          <w:sz w:val="16"/>
          <w:szCs w:val="16"/>
        </w:rPr>
        <w:t>»</w:t>
      </w:r>
      <w:r w:rsidRPr="009C3ECE">
        <w:rPr>
          <w:sz w:val="16"/>
          <w:szCs w:val="16"/>
        </w:rPr>
        <w:t>.</w:t>
      </w:r>
    </w:p>
    <w:p w14:paraId="578D7175" w14:textId="7E1D7CDD" w:rsidR="008B2477" w:rsidRDefault="008B2477" w:rsidP="001F61D4">
      <w:pPr>
        <w:pStyle w:val="Textoindependiente"/>
        <w:keepNext/>
        <w:keepLines/>
        <w:kinsoku w:val="0"/>
        <w:overflowPunct w:val="0"/>
        <w:ind w:left="567" w:hanging="567"/>
        <w:jc w:val="both"/>
        <w:rPr>
          <w:rFonts w:eastAsia="Calibri"/>
          <w:sz w:val="16"/>
          <w:szCs w:val="16"/>
        </w:rPr>
      </w:pPr>
      <w:r w:rsidRPr="006826CD">
        <w:rPr>
          <w:sz w:val="16"/>
          <w:szCs w:val="16"/>
          <w:vertAlign w:val="superscript"/>
        </w:rPr>
        <w:t>2</w:t>
      </w:r>
      <w:r w:rsidR="00953B19">
        <w:rPr>
          <w:sz w:val="16"/>
          <w:szCs w:val="16"/>
          <w:vertAlign w:val="superscript"/>
        </w:rPr>
        <w:t>/</w:t>
      </w:r>
      <w:r w:rsidR="001F61D4">
        <w:rPr>
          <w:sz w:val="16"/>
          <w:szCs w:val="16"/>
        </w:rPr>
        <w:tab/>
      </w:r>
      <w:r w:rsidRPr="006A0882">
        <w:rPr>
          <w:sz w:val="16"/>
          <w:szCs w:val="16"/>
        </w:rPr>
        <w:t>E</w:t>
      </w:r>
      <w:r w:rsidRPr="006A0882">
        <w:rPr>
          <w:rStyle w:val="ui-provider"/>
          <w:sz w:val="16"/>
          <w:szCs w:val="16"/>
        </w:rPr>
        <w:t>l</w:t>
      </w:r>
      <w:r w:rsidR="00953B19">
        <w:rPr>
          <w:rStyle w:val="ui-provider"/>
          <w:sz w:val="16"/>
          <w:szCs w:val="16"/>
        </w:rPr>
        <w:t xml:space="preserve"> </w:t>
      </w:r>
      <w:r w:rsidRPr="006A0882">
        <w:rPr>
          <w:rFonts w:eastAsia="Calibri"/>
          <w:sz w:val="16"/>
          <w:szCs w:val="16"/>
        </w:rPr>
        <w:t xml:space="preserve">Convenio de </w:t>
      </w:r>
      <w:r w:rsidR="00E57029">
        <w:rPr>
          <w:rFonts w:eastAsia="Calibri"/>
          <w:sz w:val="16"/>
          <w:szCs w:val="16"/>
        </w:rPr>
        <w:t>c</w:t>
      </w:r>
      <w:r w:rsidRPr="006A0882">
        <w:rPr>
          <w:rFonts w:eastAsia="Calibri"/>
          <w:sz w:val="16"/>
          <w:szCs w:val="16"/>
        </w:rPr>
        <w:t xml:space="preserve">olaboración para la captación de registros administrativos en materia de convenios de trabajo prejudiciales, celebrado entre el Centro de Conciliación Laboral de Veracruz de Ignacio de la Llave y el INEGI, se formalizó el 8 de diciembre de 2022. La información objeto del convenio </w:t>
      </w:r>
      <w:r w:rsidR="00E57029">
        <w:rPr>
          <w:rFonts w:eastAsia="Calibri"/>
          <w:sz w:val="16"/>
          <w:szCs w:val="16"/>
        </w:rPr>
        <w:t xml:space="preserve">se </w:t>
      </w:r>
      <w:r w:rsidRPr="006A0882">
        <w:rPr>
          <w:rFonts w:eastAsia="Calibri"/>
          <w:sz w:val="16"/>
          <w:szCs w:val="16"/>
        </w:rPr>
        <w:t>entrega a partir de enero de 2023. Derivado de lo anterior, la edición 2022 del programa carece de información sobre los convenios de trabajo prejudiciales celebrados en Veracruz durante ese año.</w:t>
      </w:r>
    </w:p>
    <w:p w14:paraId="1DDC6323" w14:textId="69C1D591" w:rsidR="008B2477" w:rsidRPr="00B57FAC" w:rsidRDefault="008B2477" w:rsidP="008B2477">
      <w:pPr>
        <w:kinsoku w:val="0"/>
        <w:overflowPunct w:val="0"/>
        <w:spacing w:after="240"/>
        <w:ind w:left="567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(ERLAJUL), 2022</w:t>
      </w:r>
    </w:p>
    <w:p w14:paraId="75509A8B" w14:textId="77777777" w:rsidR="008B2477" w:rsidRDefault="008B2477" w:rsidP="008B2477">
      <w:pPr>
        <w:pStyle w:val="Textoindependiente"/>
        <w:keepNext/>
        <w:keepLines/>
        <w:kinsoku w:val="0"/>
        <w:overflowPunct w:val="0"/>
        <w:ind w:left="0"/>
        <w:jc w:val="both"/>
        <w:rPr>
          <w:rFonts w:eastAsia="Times New Roman"/>
          <w:sz w:val="16"/>
          <w:szCs w:val="16"/>
        </w:rPr>
      </w:pPr>
    </w:p>
    <w:p w14:paraId="0775B1A4" w14:textId="508C624D" w:rsidR="000A51AB" w:rsidRPr="00F42339" w:rsidRDefault="000A51AB" w:rsidP="006826CD">
      <w:pPr>
        <w:pStyle w:val="Textoindependiente"/>
        <w:keepNext/>
        <w:keepLines/>
        <w:kinsoku w:val="0"/>
        <w:overflowPunct w:val="0"/>
        <w:ind w:left="0"/>
        <w:jc w:val="both"/>
        <w:rPr>
          <w:rFonts w:ascii="Arial Negrita" w:hAnsi="Arial Negrita"/>
          <w:b/>
          <w:smallCaps/>
          <w:sz w:val="22"/>
          <w:szCs w:val="22"/>
          <w:vertAlign w:val="superscript"/>
        </w:rPr>
      </w:pPr>
      <w:r>
        <w:rPr>
          <w:rFonts w:eastAsia="Times New Roman"/>
          <w:sz w:val="16"/>
          <w:szCs w:val="16"/>
        </w:rPr>
        <w:br w:type="page"/>
      </w:r>
    </w:p>
    <w:p w14:paraId="2986A2CE" w14:textId="4C4C349A" w:rsidR="003A3584" w:rsidRDefault="00644151" w:rsidP="00F95A40">
      <w:pPr>
        <w:widowControl/>
        <w:autoSpaceDE/>
        <w:autoSpaceDN/>
        <w:adjustRightInd/>
        <w:ind w:right="-103"/>
        <w:jc w:val="both"/>
        <w:rPr>
          <w:rFonts w:ascii="Arial" w:hAnsi="Arial" w:cs="Arial"/>
        </w:rPr>
      </w:pPr>
      <w:r w:rsidRPr="00D04CB8">
        <w:rPr>
          <w:rFonts w:ascii="Arial" w:hAnsi="Arial" w:cs="Arial"/>
        </w:rPr>
        <w:lastRenderedPageBreak/>
        <w:t>A continuación, se presenta la distribución de los convenios de trabajo prejudiciales en función del sector de actividad económica al que corresponden</w:t>
      </w:r>
      <w:r w:rsidR="0061695F">
        <w:rPr>
          <w:rFonts w:ascii="Arial" w:hAnsi="Arial" w:cs="Arial"/>
        </w:rPr>
        <w:t>. Por</w:t>
      </w:r>
      <w:r w:rsidR="003A3584">
        <w:rPr>
          <w:rFonts w:ascii="Arial" w:hAnsi="Arial" w:cs="Arial"/>
        </w:rPr>
        <w:t xml:space="preserve"> cada </w:t>
      </w:r>
      <w:r w:rsidR="00953B19">
        <w:rPr>
          <w:rFonts w:ascii="Arial" w:hAnsi="Arial" w:cs="Arial"/>
        </w:rPr>
        <w:t>cien</w:t>
      </w:r>
      <w:r w:rsidR="003A3584">
        <w:rPr>
          <w:rFonts w:ascii="Arial" w:hAnsi="Arial" w:cs="Arial"/>
        </w:rPr>
        <w:t xml:space="preserve"> convenios de trabajo prejudiciales registrados, 7</w:t>
      </w:r>
      <w:r w:rsidR="003E129A">
        <w:rPr>
          <w:rFonts w:ascii="Arial" w:hAnsi="Arial" w:cs="Arial"/>
        </w:rPr>
        <w:t>5</w:t>
      </w:r>
      <w:r w:rsidR="003A3584">
        <w:rPr>
          <w:rFonts w:ascii="Arial" w:hAnsi="Arial" w:cs="Arial"/>
        </w:rPr>
        <w:t xml:space="preserve"> </w:t>
      </w:r>
      <w:r w:rsidR="00CA0487">
        <w:rPr>
          <w:rFonts w:ascii="Arial" w:hAnsi="Arial" w:cs="Arial"/>
        </w:rPr>
        <w:t>s</w:t>
      </w:r>
      <w:r w:rsidR="003A3584">
        <w:rPr>
          <w:rFonts w:ascii="Arial" w:hAnsi="Arial" w:cs="Arial"/>
        </w:rPr>
        <w:t xml:space="preserve">e </w:t>
      </w:r>
      <w:r w:rsidR="003A74D0">
        <w:rPr>
          <w:rFonts w:ascii="Arial" w:hAnsi="Arial" w:cs="Arial"/>
        </w:rPr>
        <w:t xml:space="preserve">presentaron </w:t>
      </w:r>
      <w:r w:rsidR="003A3584">
        <w:rPr>
          <w:rFonts w:ascii="Arial" w:hAnsi="Arial" w:cs="Arial"/>
        </w:rPr>
        <w:t xml:space="preserve">en el </w:t>
      </w:r>
      <w:r w:rsidR="003A3584" w:rsidRPr="00F95A40">
        <w:rPr>
          <w:rFonts w:ascii="Arial" w:hAnsi="Arial" w:cs="Arial"/>
          <w:i/>
          <w:iCs/>
        </w:rPr>
        <w:t>sector terciario</w:t>
      </w:r>
      <w:r w:rsidR="003A3584">
        <w:rPr>
          <w:rFonts w:ascii="Arial" w:hAnsi="Arial" w:cs="Arial"/>
        </w:rPr>
        <w:t>, 2</w:t>
      </w:r>
      <w:r w:rsidR="003E129A">
        <w:rPr>
          <w:rFonts w:ascii="Arial" w:hAnsi="Arial" w:cs="Arial"/>
        </w:rPr>
        <w:t>4</w:t>
      </w:r>
      <w:r w:rsidR="003A3584">
        <w:rPr>
          <w:rFonts w:ascii="Arial" w:hAnsi="Arial" w:cs="Arial"/>
        </w:rPr>
        <w:t xml:space="preserve"> en el </w:t>
      </w:r>
      <w:r w:rsidR="003A3584" w:rsidRPr="00F95A40">
        <w:rPr>
          <w:rFonts w:ascii="Arial" w:hAnsi="Arial" w:cs="Arial"/>
          <w:i/>
          <w:iCs/>
        </w:rPr>
        <w:t>secundario</w:t>
      </w:r>
      <w:r w:rsidR="003A3584">
        <w:rPr>
          <w:rFonts w:ascii="Arial" w:hAnsi="Arial" w:cs="Arial"/>
        </w:rPr>
        <w:t xml:space="preserve"> y uno en el </w:t>
      </w:r>
      <w:r w:rsidR="003A3584" w:rsidRPr="00F95A40">
        <w:rPr>
          <w:rFonts w:ascii="Arial" w:hAnsi="Arial" w:cs="Arial"/>
          <w:i/>
          <w:iCs/>
        </w:rPr>
        <w:t>primario</w:t>
      </w:r>
      <w:r w:rsidR="003A3584" w:rsidRPr="00D04CB8">
        <w:rPr>
          <w:rFonts w:ascii="Arial" w:hAnsi="Arial" w:cs="Arial"/>
        </w:rPr>
        <w:t>.</w:t>
      </w:r>
    </w:p>
    <w:p w14:paraId="6EE9A9FD" w14:textId="77777777" w:rsidR="006666F2" w:rsidRDefault="006666F2" w:rsidP="006666F2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14:paraId="2AA9A4F3" w14:textId="16C40438" w:rsidR="00826587" w:rsidRPr="00D04CB8" w:rsidRDefault="00826587" w:rsidP="006666F2">
      <w:pPr>
        <w:keepNext/>
        <w:widowControl/>
        <w:autoSpaceDE/>
        <w:autoSpaceDN/>
        <w:adjustRightInd/>
        <w:jc w:val="center"/>
        <w:rPr>
          <w:sz w:val="20"/>
          <w:szCs w:val="20"/>
        </w:rPr>
      </w:pPr>
      <w:r w:rsidRPr="00D04CB8">
        <w:rPr>
          <w:rFonts w:ascii="Arial" w:hAnsi="Arial" w:cs="Arial"/>
          <w:sz w:val="20"/>
          <w:szCs w:val="20"/>
        </w:rPr>
        <w:t xml:space="preserve">Gráfica </w:t>
      </w:r>
      <w:r w:rsidR="00F021AE">
        <w:rPr>
          <w:rFonts w:ascii="Arial" w:hAnsi="Arial" w:cs="Arial"/>
          <w:sz w:val="20"/>
          <w:szCs w:val="20"/>
        </w:rPr>
        <w:t>4</w:t>
      </w:r>
    </w:p>
    <w:p w14:paraId="53E34E8F" w14:textId="228ADDC6" w:rsidR="0021756C" w:rsidRDefault="00644151" w:rsidP="006666F2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Convenios de trabajo prejudiciales</w:t>
      </w:r>
      <w:r w:rsidR="00953B19">
        <w:rPr>
          <w:b/>
          <w:smallCaps/>
          <w:sz w:val="22"/>
          <w:szCs w:val="22"/>
        </w:rPr>
        <w:t>, según</w:t>
      </w:r>
      <w:r>
        <w:rPr>
          <w:b/>
          <w:smallCaps/>
          <w:sz w:val="22"/>
          <w:szCs w:val="22"/>
        </w:rPr>
        <w:t xml:space="preserve"> sector de actividad económica</w:t>
      </w:r>
    </w:p>
    <w:p w14:paraId="6C9EA79F" w14:textId="4C64A5EA" w:rsidR="009F4B84" w:rsidRDefault="009F4B84" w:rsidP="006666F2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2022</w:t>
      </w:r>
    </w:p>
    <w:p w14:paraId="402569F7" w14:textId="0BBF91C6" w:rsidR="00FC03D5" w:rsidRPr="00F95A40" w:rsidRDefault="00FC03D5" w:rsidP="006666F2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0"/>
        </w:rPr>
      </w:pPr>
      <w:r w:rsidRPr="00FC03D5">
        <w:rPr>
          <w:b/>
          <w:noProof/>
          <w:sz w:val="20"/>
          <w:szCs w:val="20"/>
        </w:rPr>
        <w:drawing>
          <wp:inline distT="0" distB="0" distL="0" distR="0" wp14:anchorId="4F4809EF" wp14:editId="771F2907">
            <wp:extent cx="4865287" cy="3729162"/>
            <wp:effectExtent l="0" t="0" r="0" b="5080"/>
            <wp:docPr id="1912358456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58456" name="Imagen 1" descr="Gráfico, Gráfico circular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2785" cy="375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C2120" w14:textId="48380DD6" w:rsidR="000F12F3" w:rsidRDefault="000F12F3" w:rsidP="00387A87">
      <w:pPr>
        <w:pStyle w:val="Textoindependiente"/>
        <w:kinsoku w:val="0"/>
        <w:overflowPunct w:val="0"/>
        <w:ind w:left="1560" w:right="1071" w:hanging="567"/>
        <w:jc w:val="both"/>
        <w:rPr>
          <w:rFonts w:eastAsia="Calibri"/>
          <w:sz w:val="16"/>
          <w:szCs w:val="16"/>
        </w:rPr>
      </w:pPr>
      <w:r>
        <w:rPr>
          <w:sz w:val="16"/>
          <w:szCs w:val="16"/>
        </w:rPr>
        <w:t>Nota:</w:t>
      </w:r>
      <w:r w:rsidR="00E33999">
        <w:rPr>
          <w:sz w:val="16"/>
          <w:szCs w:val="16"/>
        </w:rPr>
        <w:tab/>
      </w:r>
      <w:r w:rsidRPr="006A0882">
        <w:rPr>
          <w:sz w:val="16"/>
          <w:szCs w:val="16"/>
        </w:rPr>
        <w:t>E</w:t>
      </w:r>
      <w:r w:rsidRPr="006A0882">
        <w:rPr>
          <w:rStyle w:val="ui-provider"/>
          <w:sz w:val="16"/>
          <w:szCs w:val="16"/>
        </w:rPr>
        <w:t xml:space="preserve">l </w:t>
      </w:r>
      <w:r w:rsidRPr="006A0882">
        <w:rPr>
          <w:rFonts w:eastAsia="Calibri"/>
          <w:sz w:val="16"/>
          <w:szCs w:val="16"/>
        </w:rPr>
        <w:t xml:space="preserve">Convenio de </w:t>
      </w:r>
      <w:r w:rsidR="00953B19">
        <w:rPr>
          <w:rFonts w:eastAsia="Calibri"/>
          <w:sz w:val="16"/>
          <w:szCs w:val="16"/>
        </w:rPr>
        <w:t>c</w:t>
      </w:r>
      <w:r w:rsidRPr="006A0882">
        <w:rPr>
          <w:rFonts w:eastAsia="Calibri"/>
          <w:sz w:val="16"/>
          <w:szCs w:val="16"/>
        </w:rPr>
        <w:t>olaboración para la captación de registros administrativos en materia de convenios de trabajo prejudiciales, celebrado entre el Centro de Conciliación Laboral de Veracruz de Ignacio de la Llave y el INEGI, se formalizó el 8 de diciembre de 2022. La información objeto del convenio</w:t>
      </w:r>
      <w:r w:rsidR="00953B19">
        <w:rPr>
          <w:rFonts w:eastAsia="Calibri"/>
          <w:sz w:val="16"/>
          <w:szCs w:val="16"/>
        </w:rPr>
        <w:t xml:space="preserve"> se </w:t>
      </w:r>
      <w:r w:rsidRPr="006A0882">
        <w:rPr>
          <w:rFonts w:eastAsia="Calibri"/>
          <w:sz w:val="16"/>
          <w:szCs w:val="16"/>
        </w:rPr>
        <w:t>entrega a partir de enero de 2023. Derivado de lo anterior, la edición 2022 del programa carece de información sobre los convenios de trabajo prejudiciales celebrados en Veracruz durante ese año.</w:t>
      </w:r>
    </w:p>
    <w:p w14:paraId="7E74E1CA" w14:textId="2977991E" w:rsidR="00D20ACF" w:rsidRDefault="00D20ACF" w:rsidP="00387A87">
      <w:pPr>
        <w:pStyle w:val="Textoindependiente"/>
        <w:kinsoku w:val="0"/>
        <w:overflowPunct w:val="0"/>
        <w:ind w:left="1560" w:right="1071"/>
        <w:jc w:val="both"/>
        <w:rPr>
          <w:rFonts w:eastAsiaTheme="minorHAnsi"/>
          <w:sz w:val="16"/>
          <w:szCs w:val="16"/>
          <w:shd w:val="clear" w:color="auto" w:fill="FFFFFF"/>
          <w:lang w:eastAsia="en-US"/>
        </w:rPr>
      </w:pPr>
      <w:r w:rsidRPr="006258F2">
        <w:rPr>
          <w:sz w:val="16"/>
          <w:szCs w:val="16"/>
        </w:rPr>
        <w:t xml:space="preserve">No incluye 2 </w:t>
      </w:r>
      <w:r w:rsidR="00003210">
        <w:rPr>
          <w:sz w:val="16"/>
          <w:szCs w:val="16"/>
        </w:rPr>
        <w:t>599</w:t>
      </w:r>
      <w:r w:rsidRPr="006258F2">
        <w:rPr>
          <w:sz w:val="16"/>
          <w:szCs w:val="16"/>
        </w:rPr>
        <w:t xml:space="preserve"> casos que corresponde</w:t>
      </w:r>
      <w:r w:rsidR="0061695F">
        <w:rPr>
          <w:sz w:val="16"/>
          <w:szCs w:val="16"/>
        </w:rPr>
        <w:t>n</w:t>
      </w:r>
      <w:r w:rsidRPr="006258F2">
        <w:rPr>
          <w:sz w:val="16"/>
          <w:szCs w:val="16"/>
        </w:rPr>
        <w:t xml:space="preserve"> a actividad económica no especificada.</w:t>
      </w:r>
      <w:r w:rsidR="003A3584" w:rsidRPr="006258F2">
        <w:rPr>
          <w:sz w:val="16"/>
          <w:szCs w:val="16"/>
        </w:rPr>
        <w:t xml:space="preserve"> </w:t>
      </w:r>
      <w:r w:rsidR="003A3584" w:rsidRPr="006258F2">
        <w:rPr>
          <w:rFonts w:eastAsiaTheme="minorHAnsi"/>
          <w:sz w:val="16"/>
          <w:szCs w:val="16"/>
          <w:shd w:val="clear" w:color="auto" w:fill="FFFFFF"/>
          <w:lang w:eastAsia="en-US"/>
        </w:rPr>
        <w:t>El sector primario aglutina todas las actividades encaminadas a extraer o cosechar productos de la tierra</w:t>
      </w:r>
      <w:r w:rsidR="00953B19">
        <w:rPr>
          <w:rFonts w:eastAsiaTheme="minorHAnsi"/>
          <w:sz w:val="16"/>
          <w:szCs w:val="16"/>
          <w:shd w:val="clear" w:color="auto" w:fill="FFFFFF"/>
          <w:lang w:eastAsia="en-US"/>
        </w:rPr>
        <w:t>. E</w:t>
      </w:r>
      <w:r w:rsidR="003A3584" w:rsidRPr="006258F2">
        <w:rPr>
          <w:rFonts w:eastAsiaTheme="minorHAnsi"/>
          <w:sz w:val="16"/>
          <w:szCs w:val="16"/>
          <w:shd w:val="clear" w:color="auto" w:fill="FFFFFF"/>
          <w:lang w:eastAsia="en-US"/>
        </w:rPr>
        <w:t>l sector secundario</w:t>
      </w:r>
      <w:r w:rsidR="0061695F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se encarga</w:t>
      </w:r>
      <w:r w:rsidR="003A3584" w:rsidRPr="006258F2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del procesamiento de las materias primas, la fabricación industrial y todas las actividades relacionadas con la fabricación</w:t>
      </w:r>
      <w:r w:rsidR="0061695F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. El </w:t>
      </w:r>
      <w:r w:rsidR="003A3584" w:rsidRPr="006258F2">
        <w:rPr>
          <w:rFonts w:eastAsiaTheme="minorHAnsi"/>
          <w:sz w:val="16"/>
          <w:szCs w:val="16"/>
          <w:shd w:val="clear" w:color="auto" w:fill="FFFFFF"/>
          <w:lang w:eastAsia="en-US"/>
        </w:rPr>
        <w:t>sector terciario es el que ofrece servicios de todo tipo a la población en general</w:t>
      </w:r>
      <w:r w:rsidR="0061695F">
        <w:rPr>
          <w:rFonts w:eastAsiaTheme="minorHAnsi"/>
          <w:sz w:val="16"/>
          <w:szCs w:val="16"/>
          <w:shd w:val="clear" w:color="auto" w:fill="FFFFFF"/>
          <w:lang w:eastAsia="en-US"/>
        </w:rPr>
        <w:t>.</w:t>
      </w:r>
    </w:p>
    <w:p w14:paraId="6506F938" w14:textId="48F9F242" w:rsidR="00D20ACF" w:rsidRPr="00B57FAC" w:rsidRDefault="00D20ACF" w:rsidP="00387A87">
      <w:pPr>
        <w:kinsoku w:val="0"/>
        <w:overflowPunct w:val="0"/>
        <w:spacing w:after="120"/>
        <w:ind w:left="1560" w:right="1071" w:hanging="567"/>
        <w:rPr>
          <w:rFonts w:ascii="Arial" w:eastAsia="Times New Roman" w:hAnsi="Arial" w:cs="Arial"/>
          <w:sz w:val="16"/>
          <w:szCs w:val="16"/>
        </w:rPr>
      </w:pPr>
      <w:bookmarkStart w:id="4" w:name="_Hlk137215654"/>
      <w:r w:rsidRPr="00B57FAC">
        <w:rPr>
          <w:rFonts w:ascii="Arial" w:eastAsia="Times New Roman" w:hAnsi="Arial" w:cs="Arial"/>
          <w:sz w:val="16"/>
          <w:szCs w:val="16"/>
        </w:rPr>
        <w:t>Fuente:</w:t>
      </w:r>
      <w:r w:rsidR="009D6D2A"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</w:t>
      </w:r>
      <w:r w:rsidR="00E67DB3">
        <w:rPr>
          <w:rFonts w:ascii="Arial" w:eastAsia="Times New Roman" w:hAnsi="Arial" w:cs="Arial"/>
          <w:sz w:val="16"/>
          <w:szCs w:val="16"/>
        </w:rPr>
        <w:t xml:space="preserve"> (ERLAJUL)</w:t>
      </w:r>
      <w:r w:rsidR="009D6D2A">
        <w:rPr>
          <w:rFonts w:ascii="Arial" w:eastAsia="Times New Roman" w:hAnsi="Arial" w:cs="Arial"/>
          <w:sz w:val="16"/>
          <w:szCs w:val="16"/>
        </w:rPr>
        <w:t>,</w:t>
      </w:r>
      <w:r>
        <w:rPr>
          <w:rFonts w:ascii="Arial" w:eastAsia="Times New Roman" w:hAnsi="Arial" w:cs="Arial"/>
          <w:sz w:val="16"/>
          <w:szCs w:val="16"/>
        </w:rPr>
        <w:t xml:space="preserve"> 202</w:t>
      </w:r>
      <w:r w:rsidR="000F5B5A">
        <w:rPr>
          <w:rFonts w:ascii="Arial" w:eastAsia="Times New Roman" w:hAnsi="Arial" w:cs="Arial"/>
          <w:sz w:val="16"/>
          <w:szCs w:val="16"/>
        </w:rPr>
        <w:t>2</w:t>
      </w:r>
    </w:p>
    <w:bookmarkEnd w:id="4"/>
    <w:p w14:paraId="62C3E76F" w14:textId="77777777" w:rsidR="00E33999" w:rsidRDefault="00E33999" w:rsidP="00415465">
      <w:pPr>
        <w:pStyle w:val="Textoindependiente"/>
        <w:kinsoku w:val="0"/>
        <w:overflowPunct w:val="0"/>
        <w:spacing w:after="120"/>
        <w:ind w:left="0"/>
        <w:jc w:val="both"/>
      </w:pPr>
    </w:p>
    <w:p w14:paraId="2A74CE2C" w14:textId="6426A082" w:rsidR="00A353AC" w:rsidRPr="00E33999" w:rsidRDefault="00B4607B" w:rsidP="00F95A40">
      <w:pPr>
        <w:pStyle w:val="Textoindependiente"/>
        <w:kinsoku w:val="0"/>
        <w:overflowPunct w:val="0"/>
        <w:spacing w:after="120"/>
        <w:ind w:left="0" w:right="-103"/>
        <w:jc w:val="both"/>
        <w:rPr>
          <w:spacing w:val="-2"/>
        </w:rPr>
      </w:pPr>
      <w:r>
        <w:rPr>
          <w:rStyle w:val="ui-provider"/>
        </w:rPr>
        <w:t>Durante 2022, los tipos de arreglos más frecuentes en los convenios de trabajo prejudiciales fueron el retiro voluntario (34.5 %) y la terminación del contrato (33.9 %). En 2021 la situación fue de 35.2 y 43.9 %, respectivamente.</w:t>
      </w:r>
    </w:p>
    <w:p w14:paraId="57F46550" w14:textId="07C41726" w:rsidR="00826587" w:rsidRPr="00D04CB8" w:rsidRDefault="00826587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D04CB8">
        <w:rPr>
          <w:sz w:val="20"/>
          <w:szCs w:val="20"/>
        </w:rPr>
        <w:lastRenderedPageBreak/>
        <w:t xml:space="preserve">Gráfica </w:t>
      </w:r>
      <w:r w:rsidR="00F021AE">
        <w:rPr>
          <w:sz w:val="20"/>
          <w:szCs w:val="20"/>
        </w:rPr>
        <w:t>5</w:t>
      </w:r>
    </w:p>
    <w:p w14:paraId="66BF73B4" w14:textId="10A9F47C" w:rsidR="00E33999" w:rsidRDefault="00834B7F" w:rsidP="00E33999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Acuerdos que resultaron</w:t>
      </w:r>
      <w:r w:rsidR="00644151">
        <w:rPr>
          <w:b/>
          <w:smallCaps/>
          <w:sz w:val="22"/>
          <w:szCs w:val="22"/>
        </w:rPr>
        <w:t xml:space="preserve"> </w:t>
      </w:r>
      <w:r>
        <w:rPr>
          <w:b/>
          <w:smallCaps/>
          <w:sz w:val="22"/>
          <w:szCs w:val="22"/>
        </w:rPr>
        <w:t>de</w:t>
      </w:r>
      <w:r w:rsidR="00644151">
        <w:rPr>
          <w:b/>
          <w:smallCaps/>
          <w:sz w:val="22"/>
          <w:szCs w:val="22"/>
        </w:rPr>
        <w:t xml:space="preserve"> los convenios de trabajo prejudiciales</w:t>
      </w:r>
    </w:p>
    <w:p w14:paraId="3A5979C8" w14:textId="023D69CB" w:rsidR="009F4B84" w:rsidRDefault="009F4B84" w:rsidP="00E33999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2022</w:t>
      </w:r>
    </w:p>
    <w:p w14:paraId="47B1B3AF" w14:textId="0884F257" w:rsidR="00FC03D5" w:rsidRPr="00F95A40" w:rsidRDefault="00FC03D5" w:rsidP="00E33999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C03D5">
        <w:rPr>
          <w:bCs/>
          <w:noProof/>
          <w:sz w:val="20"/>
          <w:szCs w:val="20"/>
        </w:rPr>
        <w:drawing>
          <wp:inline distT="0" distB="0" distL="0" distR="0" wp14:anchorId="6F5197CB" wp14:editId="2D49D639">
            <wp:extent cx="4771554" cy="2790908"/>
            <wp:effectExtent l="0" t="0" r="0" b="0"/>
            <wp:docPr id="690713774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13774" name="Imagen 1" descr="Gráfico, Gráfico de barras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5670" cy="28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DDBE9" w14:textId="07828507" w:rsidR="002872DF" w:rsidRDefault="00F77EC1" w:rsidP="00A72880">
      <w:pPr>
        <w:pStyle w:val="Textoindependiente"/>
        <w:kinsoku w:val="0"/>
        <w:overflowPunct w:val="0"/>
        <w:ind w:left="1843" w:right="1213" w:hanging="567"/>
        <w:jc w:val="both"/>
        <w:rPr>
          <w:sz w:val="16"/>
          <w:szCs w:val="16"/>
        </w:rPr>
      </w:pPr>
      <w:r>
        <w:rPr>
          <w:sz w:val="16"/>
          <w:szCs w:val="16"/>
        </w:rPr>
        <w:t>Nota:</w:t>
      </w:r>
      <w:r w:rsidR="00E33999">
        <w:rPr>
          <w:sz w:val="16"/>
          <w:szCs w:val="16"/>
        </w:rPr>
        <w:tab/>
      </w:r>
      <w:r>
        <w:rPr>
          <w:sz w:val="16"/>
          <w:szCs w:val="16"/>
        </w:rPr>
        <w:t xml:space="preserve">La suma de los </w:t>
      </w:r>
      <w:r w:rsidR="00834B7F">
        <w:rPr>
          <w:sz w:val="16"/>
          <w:szCs w:val="16"/>
        </w:rPr>
        <w:t>acuerdos</w:t>
      </w:r>
      <w:r>
        <w:rPr>
          <w:sz w:val="16"/>
          <w:szCs w:val="16"/>
        </w:rPr>
        <w:t xml:space="preserve"> es mayor al total de convenios de trabajo prejudiciales, ya que cada </w:t>
      </w:r>
      <w:r w:rsidR="00826587">
        <w:rPr>
          <w:sz w:val="16"/>
          <w:szCs w:val="16"/>
        </w:rPr>
        <w:t>convenio</w:t>
      </w:r>
      <w:r>
        <w:rPr>
          <w:sz w:val="16"/>
          <w:szCs w:val="16"/>
        </w:rPr>
        <w:t xml:space="preserve"> se originó por uno o más</w:t>
      </w:r>
      <w:r w:rsidR="00826587">
        <w:rPr>
          <w:sz w:val="16"/>
          <w:szCs w:val="16"/>
        </w:rPr>
        <w:t xml:space="preserve"> </w:t>
      </w:r>
      <w:r w:rsidR="00834B7F">
        <w:rPr>
          <w:sz w:val="16"/>
          <w:szCs w:val="16"/>
        </w:rPr>
        <w:t>acuerdos entre las partes</w:t>
      </w:r>
      <w:r>
        <w:rPr>
          <w:sz w:val="16"/>
          <w:szCs w:val="16"/>
        </w:rPr>
        <w:t>.</w:t>
      </w:r>
    </w:p>
    <w:p w14:paraId="4C8FFFFA" w14:textId="2DF7DF67" w:rsidR="000F12F3" w:rsidRDefault="00A72880" w:rsidP="00A72880">
      <w:pPr>
        <w:pStyle w:val="Textoindependiente"/>
        <w:kinsoku w:val="0"/>
        <w:overflowPunct w:val="0"/>
        <w:ind w:left="1843" w:right="1213" w:hanging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0F12F3" w:rsidRPr="006A0882">
        <w:rPr>
          <w:sz w:val="16"/>
          <w:szCs w:val="16"/>
        </w:rPr>
        <w:t>E</w:t>
      </w:r>
      <w:r w:rsidR="000F12F3" w:rsidRPr="006A0882">
        <w:rPr>
          <w:rStyle w:val="ui-provider"/>
          <w:sz w:val="16"/>
          <w:szCs w:val="16"/>
        </w:rPr>
        <w:t xml:space="preserve">l </w:t>
      </w:r>
      <w:r w:rsidR="000F12F3" w:rsidRPr="006A0882">
        <w:rPr>
          <w:rFonts w:eastAsia="Calibri"/>
          <w:sz w:val="16"/>
          <w:szCs w:val="16"/>
        </w:rPr>
        <w:t xml:space="preserve">Convenio de </w:t>
      </w:r>
      <w:r w:rsidR="00F32B6F">
        <w:rPr>
          <w:rFonts w:eastAsia="Calibri"/>
          <w:sz w:val="16"/>
          <w:szCs w:val="16"/>
        </w:rPr>
        <w:t>c</w:t>
      </w:r>
      <w:r w:rsidR="000F12F3" w:rsidRPr="006A0882">
        <w:rPr>
          <w:rFonts w:eastAsia="Calibri"/>
          <w:sz w:val="16"/>
          <w:szCs w:val="16"/>
        </w:rPr>
        <w:t xml:space="preserve">olaboración para la captación de registros administrativos en materia de convenios de trabajo prejudiciales, celebrado entre el Centro de Conciliación Laboral de Veracruz de Ignacio de la Llave y el INEGI, se formalizó el 8 de diciembre de 2022. La información objeto del convenio </w:t>
      </w:r>
      <w:r w:rsidR="00F32B6F">
        <w:rPr>
          <w:rFonts w:eastAsia="Calibri"/>
          <w:sz w:val="16"/>
          <w:szCs w:val="16"/>
        </w:rPr>
        <w:t>se</w:t>
      </w:r>
      <w:r w:rsidR="000F12F3" w:rsidRPr="006A0882">
        <w:rPr>
          <w:rFonts w:eastAsia="Calibri"/>
          <w:sz w:val="16"/>
          <w:szCs w:val="16"/>
        </w:rPr>
        <w:t xml:space="preserve"> entrega a partir de enero de 2023. Derivado de lo anterior, la edición 2022 del programa carece de información sobre los convenios de trabajo prejudiciales celebrados en Veracruz durante ese año.</w:t>
      </w:r>
    </w:p>
    <w:p w14:paraId="392C61DF" w14:textId="32F28B2B" w:rsidR="000F5B5A" w:rsidRPr="00B57FAC" w:rsidRDefault="000F5B5A" w:rsidP="00A72880">
      <w:pPr>
        <w:kinsoku w:val="0"/>
        <w:overflowPunct w:val="0"/>
        <w:spacing w:after="240"/>
        <w:ind w:left="1843" w:right="1213" w:hanging="567"/>
        <w:jc w:val="both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 w:rsidR="00E33999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</w:t>
      </w:r>
      <w:r w:rsidR="00E67DB3">
        <w:rPr>
          <w:rFonts w:ascii="Arial" w:eastAsia="Times New Roman" w:hAnsi="Arial" w:cs="Arial"/>
          <w:sz w:val="16"/>
          <w:szCs w:val="16"/>
        </w:rPr>
        <w:t xml:space="preserve"> (ERLAJUL)</w:t>
      </w:r>
      <w:r>
        <w:rPr>
          <w:rFonts w:ascii="Arial" w:eastAsia="Times New Roman" w:hAnsi="Arial" w:cs="Arial"/>
          <w:sz w:val="16"/>
          <w:szCs w:val="16"/>
        </w:rPr>
        <w:t>, 2022</w:t>
      </w:r>
    </w:p>
    <w:p w14:paraId="31802A19" w14:textId="77777777" w:rsidR="00F32B6F" w:rsidRDefault="00F32B6F" w:rsidP="00F95A40">
      <w:pPr>
        <w:pStyle w:val="Textoindependiente"/>
        <w:kinsoku w:val="0"/>
        <w:overflowPunct w:val="0"/>
        <w:ind w:left="0" w:firstLine="720"/>
        <w:jc w:val="both"/>
        <w:rPr>
          <w:rFonts w:ascii="Arial Negrita" w:hAnsi="Arial Negrita"/>
          <w:b/>
        </w:rPr>
      </w:pPr>
    </w:p>
    <w:p w14:paraId="60C9C6C1" w14:textId="3703C210" w:rsidR="00644151" w:rsidRDefault="00644151" w:rsidP="00F95A40">
      <w:pPr>
        <w:pStyle w:val="Textoindependiente"/>
        <w:kinsoku w:val="0"/>
        <w:overflowPunct w:val="0"/>
        <w:ind w:right="-103"/>
        <w:jc w:val="both"/>
        <w:rPr>
          <w:rFonts w:ascii="Arial Negrita" w:hAnsi="Arial Negrita"/>
          <w:b/>
        </w:rPr>
      </w:pPr>
      <w:r w:rsidRPr="00D06E85">
        <w:rPr>
          <w:rFonts w:ascii="Arial Negrita" w:hAnsi="Arial Negrita"/>
          <w:b/>
          <w:smallCaps/>
        </w:rPr>
        <w:t>Conflictos de trabajo</w:t>
      </w:r>
    </w:p>
    <w:p w14:paraId="4518F77E" w14:textId="77777777" w:rsidR="00F32B6F" w:rsidRPr="00F95A40" w:rsidRDefault="00F32B6F" w:rsidP="00F95A40">
      <w:pPr>
        <w:pStyle w:val="Textoindependiente"/>
        <w:kinsoku w:val="0"/>
        <w:overflowPunct w:val="0"/>
        <w:ind w:left="0" w:right="-103" w:firstLine="720"/>
        <w:jc w:val="both"/>
        <w:rPr>
          <w:rFonts w:ascii="Arial Negrita" w:hAnsi="Arial Negrita"/>
          <w:b/>
        </w:rPr>
      </w:pPr>
    </w:p>
    <w:p w14:paraId="6F091629" w14:textId="52B4A423" w:rsidR="00644151" w:rsidRDefault="001E5DD0" w:rsidP="00F95A40">
      <w:pPr>
        <w:pStyle w:val="Textoindependiente"/>
        <w:widowControl/>
        <w:kinsoku w:val="0"/>
        <w:overflowPunct w:val="0"/>
        <w:ind w:left="0" w:right="-103"/>
        <w:jc w:val="both"/>
      </w:pPr>
      <w:r>
        <w:t>L</w:t>
      </w:r>
      <w:r w:rsidR="00644151">
        <w:t>os conflictos de trabajo se dividen en individuales y colectivos. En los primeros</w:t>
      </w:r>
      <w:r w:rsidR="004D7895">
        <w:t>,</w:t>
      </w:r>
      <w:r w:rsidR="00644151">
        <w:t xml:space="preserve"> se afectan los intereses de </w:t>
      </w:r>
      <w:r w:rsidR="00B968BE">
        <w:t xml:space="preserve">las y </w:t>
      </w:r>
      <w:r w:rsidR="00644151">
        <w:t>los trabajadores individualmente determinados</w:t>
      </w:r>
      <w:r w:rsidR="008A1D2B">
        <w:t>; e</w:t>
      </w:r>
      <w:r w:rsidR="00644151">
        <w:t>n los segundos</w:t>
      </w:r>
      <w:r w:rsidR="00F32B6F">
        <w:t>,</w:t>
      </w:r>
      <w:r w:rsidR="008A1D2B">
        <w:t xml:space="preserve"> </w:t>
      </w:r>
      <w:r w:rsidR="00644151">
        <w:t xml:space="preserve">los intereses de la totalidad de </w:t>
      </w:r>
      <w:r w:rsidR="00B968BE">
        <w:t xml:space="preserve">las y </w:t>
      </w:r>
      <w:r w:rsidR="00644151">
        <w:t>los trabajadores de una empresa o establecimiento.</w:t>
      </w:r>
    </w:p>
    <w:p w14:paraId="250280A4" w14:textId="77777777" w:rsidR="00F32B6F" w:rsidRDefault="00F32B6F" w:rsidP="00F95A40">
      <w:pPr>
        <w:pStyle w:val="Textoindependiente"/>
        <w:widowControl/>
        <w:kinsoku w:val="0"/>
        <w:overflowPunct w:val="0"/>
        <w:ind w:left="0" w:right="-103"/>
        <w:jc w:val="both"/>
      </w:pPr>
    </w:p>
    <w:p w14:paraId="4AA41A8E" w14:textId="7709A74E" w:rsidR="00644151" w:rsidRDefault="00644151" w:rsidP="00F95A40">
      <w:pPr>
        <w:pStyle w:val="Textoindependiente"/>
        <w:kinsoku w:val="0"/>
        <w:overflowPunct w:val="0"/>
        <w:ind w:left="0" w:right="-103"/>
        <w:jc w:val="both"/>
      </w:pPr>
      <w:r>
        <w:t xml:space="preserve">Con respecto a la solución de los conflictos de trabajo (individuales o colectivos), el </w:t>
      </w:r>
      <w:r w:rsidR="003336BA">
        <w:t>a</w:t>
      </w:r>
      <w:r>
        <w:t>rtículo 123 de la Constitución Política de los Estados Unidos Mexicanos</w:t>
      </w:r>
      <w:r w:rsidR="008A1D2B">
        <w:t xml:space="preserve"> (CPEUM)</w:t>
      </w:r>
      <w:r>
        <w:t xml:space="preserve"> y el </w:t>
      </w:r>
      <w:r w:rsidR="003336BA">
        <w:t>a</w:t>
      </w:r>
      <w:r>
        <w:t xml:space="preserve">rtículo 604 de la </w:t>
      </w:r>
      <w:r w:rsidR="00D51952">
        <w:t>Ley Federal del Trabajo (</w:t>
      </w:r>
      <w:r w:rsidR="00486FC3">
        <w:t>LFT</w:t>
      </w:r>
      <w:r w:rsidR="00D51952">
        <w:t>)</w:t>
      </w:r>
      <w:r w:rsidR="00486FC3" w:rsidDel="00486FC3">
        <w:t xml:space="preserve"> </w:t>
      </w:r>
      <w:r>
        <w:t>vigente estipula</w:t>
      </w:r>
      <w:r w:rsidR="004D7895">
        <w:t>n</w:t>
      </w:r>
      <w:r>
        <w:t xml:space="preserve"> que </w:t>
      </w:r>
      <w:r w:rsidR="008A1D2B">
        <w:t>«</w:t>
      </w:r>
      <w:r>
        <w:t xml:space="preserve">corresponde a los Tribunales Laborales del Poder Judicial de la Federación o de las entidades federativas el conocimiento y la resolución de los conflictos de trabajo que </w:t>
      </w:r>
      <w:r w:rsidR="00FA349B">
        <w:t xml:space="preserve">se </w:t>
      </w:r>
      <w:r>
        <w:t>susciten entre trabajadores y patrones, s</w:t>
      </w:r>
      <w:r w:rsidR="00486FC3">
        <w:t>o</w:t>
      </w:r>
      <w:r>
        <w:t>lo entre aquellos o s</w:t>
      </w:r>
      <w:r w:rsidR="00486FC3">
        <w:t>o</w:t>
      </w:r>
      <w:r>
        <w:t xml:space="preserve">lo entre </w:t>
      </w:r>
      <w:r w:rsidR="00C81892">
        <w:t>e</w:t>
      </w:r>
      <w:r>
        <w:t>stos, derivado de las relaciones de trabajo o de hechos relacionados con ellas</w:t>
      </w:r>
      <w:r w:rsidR="008A1D2B">
        <w:t>»</w:t>
      </w:r>
      <w:r>
        <w:t>.</w:t>
      </w:r>
    </w:p>
    <w:p w14:paraId="7903EA32" w14:textId="77777777" w:rsidR="00F32B6F" w:rsidRDefault="00F32B6F" w:rsidP="00F95A40">
      <w:pPr>
        <w:pStyle w:val="Textoindependiente"/>
        <w:kinsoku w:val="0"/>
        <w:overflowPunct w:val="0"/>
        <w:ind w:left="0" w:right="-103"/>
        <w:jc w:val="both"/>
      </w:pPr>
    </w:p>
    <w:p w14:paraId="2FEC48D7" w14:textId="48645E4F" w:rsidR="00644151" w:rsidRPr="00D06E85" w:rsidRDefault="00644151" w:rsidP="00F95A40">
      <w:pPr>
        <w:pStyle w:val="Textoindependiente"/>
        <w:kinsoku w:val="0"/>
        <w:overflowPunct w:val="0"/>
        <w:ind w:left="0" w:right="-103" w:firstLine="720"/>
        <w:jc w:val="both"/>
        <w:rPr>
          <w:rFonts w:ascii="Arial Negrita" w:hAnsi="Arial Negrita"/>
        </w:rPr>
      </w:pPr>
      <w:r w:rsidRPr="00F95A40">
        <w:rPr>
          <w:rFonts w:ascii="Arial Negrita" w:hAnsi="Arial Negrita"/>
        </w:rPr>
        <w:t>Surgimiento del conflicto de trabajo</w:t>
      </w:r>
    </w:p>
    <w:p w14:paraId="09C3C23F" w14:textId="77777777" w:rsidR="00F32B6F" w:rsidRPr="00F95A40" w:rsidRDefault="00F32B6F" w:rsidP="00F95A40">
      <w:pPr>
        <w:pStyle w:val="Textoindependiente"/>
        <w:kinsoku w:val="0"/>
        <w:overflowPunct w:val="0"/>
        <w:ind w:left="0" w:right="-103" w:firstLine="720"/>
        <w:jc w:val="both"/>
        <w:rPr>
          <w:rFonts w:ascii="Arial Negrita" w:hAnsi="Arial Negrita"/>
        </w:rPr>
      </w:pPr>
    </w:p>
    <w:p w14:paraId="16B325DE" w14:textId="38E89609" w:rsidR="00644151" w:rsidRDefault="00644151" w:rsidP="00F95A40">
      <w:pPr>
        <w:pStyle w:val="Textoindependiente"/>
        <w:kinsoku w:val="0"/>
        <w:overflowPunct w:val="0"/>
        <w:ind w:left="0" w:right="-103"/>
        <w:jc w:val="both"/>
      </w:pPr>
      <w:r>
        <w:t>En</w:t>
      </w:r>
      <w:r w:rsidR="008A1D2B">
        <w:t xml:space="preserve"> 2022, en</w:t>
      </w:r>
      <w:r>
        <w:t xml:space="preserve"> conjunto</w:t>
      </w:r>
      <w:r w:rsidR="00E77973">
        <w:t>,</w:t>
      </w:r>
      <w:r>
        <w:t xml:space="preserve"> los conflictos individuales y colectivos de trabajo </w:t>
      </w:r>
      <w:r w:rsidR="00A21CA5">
        <w:t xml:space="preserve">pasaron </w:t>
      </w:r>
      <w:r w:rsidR="002731E7">
        <w:t xml:space="preserve">de </w:t>
      </w:r>
      <w:r w:rsidR="00A21CA5">
        <w:t>18</w:t>
      </w:r>
      <w:r w:rsidR="00DE5DDC">
        <w:t>2</w:t>
      </w:r>
      <w:r w:rsidR="00E33999">
        <w:t xml:space="preserve"> </w:t>
      </w:r>
      <w:r w:rsidR="00DE5DDC">
        <w:t>909</w:t>
      </w:r>
      <w:r w:rsidR="00A21CA5">
        <w:t xml:space="preserve"> a 1</w:t>
      </w:r>
      <w:r w:rsidR="00DE5DDC">
        <w:t>38</w:t>
      </w:r>
      <w:r w:rsidR="00E33999">
        <w:t xml:space="preserve"> </w:t>
      </w:r>
      <w:r w:rsidR="00DE5DDC">
        <w:t>420</w:t>
      </w:r>
      <w:r w:rsidR="00A21CA5">
        <w:t xml:space="preserve">, lo que significa una </w:t>
      </w:r>
      <w:r>
        <w:t xml:space="preserve">disminución de </w:t>
      </w:r>
      <w:r w:rsidR="00DE5DDC">
        <w:t>24.3</w:t>
      </w:r>
      <w:r w:rsidR="006F54A9">
        <w:t xml:space="preserve"> </w:t>
      </w:r>
      <w:r>
        <w:t>% respecto a 20</w:t>
      </w:r>
      <w:r w:rsidR="00895565">
        <w:t>2</w:t>
      </w:r>
      <w:r w:rsidR="00DE5DDC">
        <w:t>1</w:t>
      </w:r>
      <w:r w:rsidR="00A21CA5">
        <w:t xml:space="preserve">. </w:t>
      </w:r>
      <w:r>
        <w:t>Los conflictos individuales de trabajo</w:t>
      </w:r>
      <w:r w:rsidR="00A21CA5">
        <w:t xml:space="preserve"> descendieron </w:t>
      </w:r>
      <w:r w:rsidR="00DE5DDC">
        <w:t>24.1</w:t>
      </w:r>
      <w:r w:rsidR="00E33999">
        <w:t xml:space="preserve"> </w:t>
      </w:r>
      <w:r>
        <w:t>% respecto a 20</w:t>
      </w:r>
      <w:r w:rsidR="00895565">
        <w:t>2</w:t>
      </w:r>
      <w:r w:rsidR="00DE5DDC">
        <w:t>1</w:t>
      </w:r>
      <w:r w:rsidR="00A21CA5">
        <w:t>,</w:t>
      </w:r>
      <w:r>
        <w:t xml:space="preserve"> </w:t>
      </w:r>
      <w:r w:rsidR="00DE5DDC">
        <w:t xml:space="preserve">en tanto que los </w:t>
      </w:r>
      <w:r>
        <w:t>conflictos colectivos</w:t>
      </w:r>
      <w:r w:rsidR="00A21CA5">
        <w:t xml:space="preserve"> </w:t>
      </w:r>
      <w:r w:rsidR="006507F6">
        <w:t>disminuyeron</w:t>
      </w:r>
      <w:r w:rsidR="00DE5DDC">
        <w:t xml:space="preserve"> 71</w:t>
      </w:r>
      <w:r w:rsidR="00895565">
        <w:t>.</w:t>
      </w:r>
      <w:r w:rsidR="00DE5DDC">
        <w:t>1</w:t>
      </w:r>
      <w:r w:rsidR="006B56ED">
        <w:t xml:space="preserve"> por ciento</w:t>
      </w:r>
      <w:r>
        <w:t>.</w:t>
      </w:r>
    </w:p>
    <w:p w14:paraId="22A274FD" w14:textId="3028D930" w:rsidR="00417A5C" w:rsidRPr="000D236E" w:rsidRDefault="00417A5C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D236E">
        <w:rPr>
          <w:sz w:val="20"/>
          <w:szCs w:val="20"/>
        </w:rPr>
        <w:lastRenderedPageBreak/>
        <w:t>Gr</w:t>
      </w:r>
      <w:r w:rsidR="009F31EA">
        <w:rPr>
          <w:sz w:val="20"/>
          <w:szCs w:val="20"/>
        </w:rPr>
        <w:t>á</w:t>
      </w:r>
      <w:r w:rsidRPr="000D236E">
        <w:rPr>
          <w:sz w:val="20"/>
          <w:szCs w:val="20"/>
        </w:rPr>
        <w:t>fica 6</w:t>
      </w:r>
    </w:p>
    <w:p w14:paraId="5F520C0E" w14:textId="2F82EDF3" w:rsidR="002F6347" w:rsidRPr="00C95318" w:rsidRDefault="0017781D" w:rsidP="002F6347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Conflictos de trabajo</w:t>
      </w:r>
      <w:r w:rsidR="001F61D4" w:rsidRPr="001F61D4">
        <w:rPr>
          <w:b/>
          <w:smallCaps/>
          <w:sz w:val="22"/>
          <w:szCs w:val="22"/>
          <w:vertAlign w:val="superscript"/>
        </w:rPr>
        <w:t>1</w:t>
      </w:r>
      <w:r w:rsidR="008A1D2B">
        <w:rPr>
          <w:b/>
          <w:smallCaps/>
          <w:sz w:val="22"/>
          <w:szCs w:val="22"/>
          <w:vertAlign w:val="superscript"/>
        </w:rPr>
        <w:t>/</w:t>
      </w:r>
    </w:p>
    <w:p w14:paraId="084A0F52" w14:textId="418134BC" w:rsidR="002F6347" w:rsidRPr="00F95A40" w:rsidRDefault="00C95318" w:rsidP="002F6347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2015-</w:t>
      </w:r>
      <w:r w:rsidR="002F6347" w:rsidRPr="00F95A40">
        <w:rPr>
          <w:bCs/>
          <w:sz w:val="20"/>
          <w:szCs w:val="20"/>
        </w:rPr>
        <w:t>2022</w:t>
      </w:r>
    </w:p>
    <w:p w14:paraId="11792C77" w14:textId="77777777" w:rsidR="008A1D2B" w:rsidRPr="00F95A40" w:rsidRDefault="008A1D2B" w:rsidP="002F6347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0"/>
          <w:szCs w:val="20"/>
        </w:rPr>
      </w:pPr>
    </w:p>
    <w:p w14:paraId="77442696" w14:textId="243727BF" w:rsidR="0017781D" w:rsidRDefault="000B712B" w:rsidP="007F4D93">
      <w:pPr>
        <w:pStyle w:val="Textoindependiente"/>
        <w:kinsoku w:val="0"/>
        <w:overflowPunct w:val="0"/>
        <w:ind w:left="0"/>
        <w:jc w:val="both"/>
      </w:pPr>
      <w:r w:rsidRPr="000B712B">
        <w:rPr>
          <w:noProof/>
        </w:rPr>
        <w:drawing>
          <wp:inline distT="0" distB="0" distL="0" distR="0" wp14:anchorId="72FC97DC" wp14:editId="393EAEC2">
            <wp:extent cx="6261100" cy="3409122"/>
            <wp:effectExtent l="0" t="0" r="6350" b="1270"/>
            <wp:docPr id="1006545771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45771" name="Imagen 1" descr="Gráfico, Gráfico de barras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6783" cy="341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3B3B" w14:textId="4D82EA05" w:rsidR="00FB5563" w:rsidRDefault="001F61D4" w:rsidP="00C35651">
      <w:pPr>
        <w:kinsoku w:val="0"/>
        <w:overflowPunct w:val="0"/>
        <w:ind w:left="567" w:hanging="567"/>
        <w:rPr>
          <w:rFonts w:ascii="Arial" w:eastAsia="Times New Roman" w:hAnsi="Arial" w:cs="Arial"/>
          <w:sz w:val="16"/>
          <w:szCs w:val="16"/>
        </w:rPr>
      </w:pPr>
      <w:r w:rsidRPr="001F61D4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="008A1D2B">
        <w:rPr>
          <w:rFonts w:ascii="Arial" w:eastAsia="Times New Roman" w:hAnsi="Arial" w:cs="Arial"/>
          <w:sz w:val="16"/>
          <w:szCs w:val="16"/>
          <w:vertAlign w:val="superscript"/>
        </w:rPr>
        <w:t>/</w:t>
      </w:r>
      <w:r w:rsidR="00C35651">
        <w:rPr>
          <w:rFonts w:ascii="Arial" w:eastAsia="Times New Roman" w:hAnsi="Arial" w:cs="Arial"/>
          <w:sz w:val="16"/>
          <w:szCs w:val="16"/>
          <w:vertAlign w:val="superscript"/>
        </w:rPr>
        <w:tab/>
      </w:r>
      <w:r w:rsidR="00FB5563">
        <w:rPr>
          <w:rFonts w:ascii="Arial" w:eastAsia="Times New Roman" w:hAnsi="Arial" w:cs="Arial"/>
          <w:sz w:val="16"/>
          <w:szCs w:val="16"/>
        </w:rPr>
        <w:t>Incluye conflictos de trabajo individuales y colectivos</w:t>
      </w:r>
      <w:r w:rsidR="004D7895">
        <w:rPr>
          <w:rFonts w:ascii="Arial" w:eastAsia="Times New Roman" w:hAnsi="Arial" w:cs="Arial"/>
          <w:sz w:val="16"/>
          <w:szCs w:val="16"/>
        </w:rPr>
        <w:t>.</w:t>
      </w:r>
    </w:p>
    <w:p w14:paraId="283CDCA1" w14:textId="7D16ABAD" w:rsidR="004B2EE5" w:rsidRPr="00B57FAC" w:rsidRDefault="004B2EE5" w:rsidP="00DB5384">
      <w:pPr>
        <w:kinsoku w:val="0"/>
        <w:overflowPunct w:val="0"/>
        <w:spacing w:after="240"/>
        <w:ind w:left="567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>(ERLAJUL),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C95318">
        <w:rPr>
          <w:rFonts w:ascii="Arial" w:eastAsia="Times New Roman" w:hAnsi="Arial" w:cs="Arial"/>
          <w:sz w:val="16"/>
          <w:szCs w:val="16"/>
        </w:rPr>
        <w:t xml:space="preserve">2015 a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746A5C59" w14:textId="3E2B1C79" w:rsidR="00B46001" w:rsidRDefault="00B460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br w:type="page"/>
      </w:r>
    </w:p>
    <w:p w14:paraId="726F979A" w14:textId="047342E4" w:rsidR="00486FC3" w:rsidRPr="00084797" w:rsidRDefault="00486FC3" w:rsidP="00486FC3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lastRenderedPageBreak/>
        <w:t xml:space="preserve">Gráfica </w:t>
      </w:r>
      <w:r w:rsidR="00417A5C">
        <w:rPr>
          <w:sz w:val="20"/>
          <w:szCs w:val="20"/>
        </w:rPr>
        <w:t>7</w:t>
      </w:r>
    </w:p>
    <w:p w14:paraId="71643DE8" w14:textId="60405046" w:rsidR="00C95318" w:rsidRPr="00C95318" w:rsidRDefault="00644151" w:rsidP="00C95318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Conflictos individuales de trabajo</w:t>
      </w:r>
    </w:p>
    <w:p w14:paraId="2DA7CEB1" w14:textId="41BCAA42" w:rsidR="00C95318" w:rsidRPr="00F95A40" w:rsidRDefault="00C95318" w:rsidP="00C95318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2015-2022</w:t>
      </w:r>
    </w:p>
    <w:p w14:paraId="13B801C3" w14:textId="77777777" w:rsidR="008A1D2B" w:rsidRPr="00F95A40" w:rsidRDefault="008A1D2B" w:rsidP="00C95318">
      <w:pPr>
        <w:pStyle w:val="Textoindependiente"/>
        <w:keepNext/>
        <w:kinsoku w:val="0"/>
        <w:overflowPunct w:val="0"/>
        <w:ind w:left="0"/>
        <w:jc w:val="center"/>
        <w:rPr>
          <w:bCs/>
          <w:smallCaps/>
          <w:sz w:val="20"/>
          <w:szCs w:val="20"/>
        </w:rPr>
      </w:pPr>
    </w:p>
    <w:p w14:paraId="4D7D32B0" w14:textId="10A565EA" w:rsidR="005A3CAA" w:rsidRPr="00E33999" w:rsidRDefault="005A3CAA" w:rsidP="00C95318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5A3CAA">
        <w:rPr>
          <w:b/>
          <w:smallCaps/>
          <w:noProof/>
          <w:sz w:val="22"/>
          <w:szCs w:val="22"/>
        </w:rPr>
        <w:drawing>
          <wp:inline distT="0" distB="0" distL="0" distR="0" wp14:anchorId="34437B2E" wp14:editId="1BD95DE4">
            <wp:extent cx="5906324" cy="2781688"/>
            <wp:effectExtent l="0" t="0" r="0" b="0"/>
            <wp:docPr id="1050940787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40787" name="Imagen 1" descr="Gráfico, Gráfico de barras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F5C09" w14:textId="047AC52D" w:rsidR="000F5B5A" w:rsidRPr="00B57FAC" w:rsidRDefault="000F5B5A" w:rsidP="000F5B5A">
      <w:pPr>
        <w:kinsoku w:val="0"/>
        <w:overflowPunct w:val="0"/>
        <w:spacing w:after="240"/>
        <w:ind w:left="851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 w:rsidR="00C95318">
        <w:rPr>
          <w:rFonts w:ascii="Arial" w:eastAsia="Times New Roman" w:hAnsi="Arial" w:cs="Arial"/>
          <w:sz w:val="16"/>
          <w:szCs w:val="16"/>
        </w:rPr>
        <w:t xml:space="preserve">2015 a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6B69902B" w14:textId="77777777" w:rsidR="00AD1C29" w:rsidRDefault="00AD1C29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</w:p>
    <w:p w14:paraId="0CF0A112" w14:textId="2F65B1FA" w:rsidR="00486FC3" w:rsidRPr="00084797" w:rsidRDefault="00486FC3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 w:rsidR="00417A5C">
        <w:rPr>
          <w:sz w:val="20"/>
          <w:szCs w:val="20"/>
        </w:rPr>
        <w:t>8</w:t>
      </w:r>
    </w:p>
    <w:p w14:paraId="24502655" w14:textId="03E44586" w:rsidR="00644151" w:rsidRDefault="00644151" w:rsidP="00D04CB8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Conflictos colectivos de trabajo</w:t>
      </w:r>
    </w:p>
    <w:p w14:paraId="25469CA7" w14:textId="40FE8624" w:rsidR="009F4B84" w:rsidRPr="00F95A40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2022</w:t>
      </w:r>
    </w:p>
    <w:p w14:paraId="52688BDE" w14:textId="77777777" w:rsidR="008A1D2B" w:rsidRPr="00F95A40" w:rsidRDefault="008A1D2B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mallCaps/>
          <w:noProof/>
          <w:sz w:val="18"/>
          <w:szCs w:val="18"/>
        </w:rPr>
      </w:pPr>
    </w:p>
    <w:p w14:paraId="32252BAF" w14:textId="308797F7" w:rsidR="00232133" w:rsidRPr="009F4B84" w:rsidRDefault="00232133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mallCaps/>
          <w:sz w:val="18"/>
          <w:szCs w:val="18"/>
        </w:rPr>
      </w:pPr>
      <w:r w:rsidRPr="00232133">
        <w:rPr>
          <w:bCs/>
          <w:smallCaps/>
          <w:noProof/>
          <w:sz w:val="18"/>
          <w:szCs w:val="18"/>
        </w:rPr>
        <w:drawing>
          <wp:inline distT="0" distB="0" distL="0" distR="0" wp14:anchorId="5CDDAC81" wp14:editId="3F2FBF88">
            <wp:extent cx="6230219" cy="2915057"/>
            <wp:effectExtent l="0" t="0" r="0" b="0"/>
            <wp:docPr id="1457395010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95010" name="Imagen 1" descr="Gráfico, Gráfico de barras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30219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B01E3" w14:textId="10904AC8" w:rsidR="000F5B5A" w:rsidRPr="00B57FAC" w:rsidRDefault="000F5B5A" w:rsidP="000F5B5A">
      <w:pPr>
        <w:kinsoku w:val="0"/>
        <w:overflowPunct w:val="0"/>
        <w:spacing w:after="240"/>
        <w:ind w:left="851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0AF6F068" w14:textId="77777777" w:rsidR="000A51AB" w:rsidRDefault="000A51AB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br w:type="page"/>
      </w:r>
    </w:p>
    <w:p w14:paraId="41B51257" w14:textId="61634BEC" w:rsidR="00DB7D21" w:rsidRDefault="00644151" w:rsidP="00F95A40">
      <w:pPr>
        <w:pStyle w:val="Textoindependiente"/>
        <w:kinsoku w:val="0"/>
        <w:overflowPunct w:val="0"/>
        <w:spacing w:after="120"/>
        <w:ind w:left="0" w:right="-103"/>
        <w:jc w:val="both"/>
      </w:pPr>
      <w:r>
        <w:lastRenderedPageBreak/>
        <w:t>A continuación, se presenta la distribución de los conflictos de trabajo por sector de actividad económica en el que se gener</w:t>
      </w:r>
      <w:r w:rsidR="001E5DD0">
        <w:t>ó</w:t>
      </w:r>
      <w:r w:rsidR="008A1D2B">
        <w:t>.</w:t>
      </w:r>
      <w:r w:rsidR="007270BA">
        <w:rPr>
          <w:rStyle w:val="Refdenotaalpie"/>
        </w:rPr>
        <w:footnoteReference w:id="5"/>
      </w:r>
      <w:r>
        <w:t xml:space="preserve"> </w:t>
      </w:r>
      <w:r w:rsidR="00DB7D21">
        <w:t xml:space="preserve">Por cada </w:t>
      </w:r>
      <w:r w:rsidR="008A1D2B">
        <w:t>cien</w:t>
      </w:r>
      <w:r w:rsidR="00DB7D21">
        <w:t xml:space="preserve"> conflictos de trabajo registrados, </w:t>
      </w:r>
      <w:r w:rsidR="00415465">
        <w:t xml:space="preserve">81 </w:t>
      </w:r>
      <w:r w:rsidR="00DB7D21">
        <w:t xml:space="preserve">se </w:t>
      </w:r>
      <w:r w:rsidR="00415465">
        <w:t xml:space="preserve">presentaron </w:t>
      </w:r>
      <w:r w:rsidR="00DB7D21">
        <w:t xml:space="preserve">en el </w:t>
      </w:r>
      <w:r w:rsidR="00DB7D21" w:rsidRPr="00F95A40">
        <w:rPr>
          <w:i/>
          <w:iCs/>
        </w:rPr>
        <w:t>sector terciario</w:t>
      </w:r>
      <w:r w:rsidR="00DB7D21">
        <w:t>, 1</w:t>
      </w:r>
      <w:r w:rsidR="00DE5DDC">
        <w:t>8</w:t>
      </w:r>
      <w:r w:rsidR="00DB7D21">
        <w:t xml:space="preserve"> en el </w:t>
      </w:r>
      <w:r w:rsidR="00DB7D21" w:rsidRPr="00F95A40">
        <w:rPr>
          <w:i/>
          <w:iCs/>
        </w:rPr>
        <w:t>secundario</w:t>
      </w:r>
      <w:r w:rsidR="00DB7D21">
        <w:t xml:space="preserve"> y uno en el </w:t>
      </w:r>
      <w:r w:rsidR="00DB7D21" w:rsidRPr="00F95A40">
        <w:rPr>
          <w:i/>
          <w:iCs/>
        </w:rPr>
        <w:t>primario</w:t>
      </w:r>
      <w:r w:rsidR="00DB7D21">
        <w:t>.</w:t>
      </w:r>
    </w:p>
    <w:p w14:paraId="396490CD" w14:textId="77777777" w:rsidR="00A72880" w:rsidRDefault="00A72880" w:rsidP="00A72880">
      <w:pPr>
        <w:pStyle w:val="Textoindependiente"/>
        <w:kinsoku w:val="0"/>
        <w:overflowPunct w:val="0"/>
        <w:ind w:left="0" w:right="-102"/>
        <w:jc w:val="both"/>
      </w:pPr>
    </w:p>
    <w:p w14:paraId="5129136F" w14:textId="5E7A5451" w:rsidR="001A3800" w:rsidRDefault="00486FC3" w:rsidP="00847A4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 w:rsidR="00417A5C">
        <w:rPr>
          <w:sz w:val="20"/>
          <w:szCs w:val="20"/>
        </w:rPr>
        <w:t>9</w:t>
      </w:r>
    </w:p>
    <w:p w14:paraId="6D78DC1B" w14:textId="1A409D29" w:rsidR="00C660E9" w:rsidRDefault="00C660E9" w:rsidP="00C660E9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Conflictos de trabajo por sector básico de actividad económica</w:t>
      </w:r>
    </w:p>
    <w:p w14:paraId="2445515A" w14:textId="0E837378" w:rsidR="009F4B84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2022</w:t>
      </w:r>
    </w:p>
    <w:p w14:paraId="2FBAD17E" w14:textId="4EAB940A" w:rsidR="00FC03D5" w:rsidRPr="00F95A40" w:rsidRDefault="00FC03D5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C03D5">
        <w:rPr>
          <w:bCs/>
          <w:noProof/>
          <w:sz w:val="20"/>
          <w:szCs w:val="20"/>
        </w:rPr>
        <w:drawing>
          <wp:inline distT="0" distB="0" distL="0" distR="0" wp14:anchorId="275B1C80" wp14:editId="79BEC091">
            <wp:extent cx="4495800" cy="3454788"/>
            <wp:effectExtent l="0" t="0" r="0" b="0"/>
            <wp:docPr id="698536749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36749" name="Imagen 1" descr="Icon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7029" cy="346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7532C" w14:textId="3696B104" w:rsidR="008A4DE4" w:rsidRDefault="001A3800" w:rsidP="00387A87">
      <w:pPr>
        <w:pStyle w:val="Textoindependiente"/>
        <w:keepNext/>
        <w:kinsoku w:val="0"/>
        <w:overflowPunct w:val="0"/>
        <w:ind w:left="1985" w:right="1355" w:hanging="567"/>
        <w:jc w:val="both"/>
        <w:rPr>
          <w:sz w:val="16"/>
          <w:szCs w:val="16"/>
        </w:rPr>
      </w:pPr>
      <w:r w:rsidRPr="00786890">
        <w:rPr>
          <w:sz w:val="16"/>
          <w:szCs w:val="16"/>
        </w:rPr>
        <w:t>N</w:t>
      </w:r>
      <w:r w:rsidR="00786890">
        <w:rPr>
          <w:sz w:val="16"/>
          <w:szCs w:val="16"/>
        </w:rPr>
        <w:t>ota</w:t>
      </w:r>
      <w:r w:rsidRPr="00786890">
        <w:rPr>
          <w:sz w:val="16"/>
          <w:szCs w:val="16"/>
        </w:rPr>
        <w:t>:</w:t>
      </w:r>
      <w:r w:rsidR="00C95318">
        <w:rPr>
          <w:sz w:val="16"/>
          <w:szCs w:val="16"/>
        </w:rPr>
        <w:tab/>
      </w:r>
      <w:r w:rsidRPr="00786890">
        <w:rPr>
          <w:sz w:val="16"/>
          <w:szCs w:val="16"/>
        </w:rPr>
        <w:t xml:space="preserve">No incluye </w:t>
      </w:r>
      <w:r w:rsidR="00003210">
        <w:rPr>
          <w:sz w:val="16"/>
          <w:szCs w:val="16"/>
        </w:rPr>
        <w:t>11 141</w:t>
      </w:r>
      <w:r w:rsidRPr="00786890">
        <w:rPr>
          <w:sz w:val="16"/>
          <w:szCs w:val="16"/>
        </w:rPr>
        <w:t xml:space="preserve"> casos</w:t>
      </w:r>
      <w:r w:rsidR="00886F8A">
        <w:rPr>
          <w:sz w:val="16"/>
          <w:szCs w:val="16"/>
        </w:rPr>
        <w:t xml:space="preserve"> que </w:t>
      </w:r>
      <w:r w:rsidRPr="00786890">
        <w:rPr>
          <w:sz w:val="16"/>
          <w:szCs w:val="16"/>
        </w:rPr>
        <w:t>corresponde</w:t>
      </w:r>
      <w:r w:rsidR="00886F8A">
        <w:rPr>
          <w:sz w:val="16"/>
          <w:szCs w:val="16"/>
        </w:rPr>
        <w:t>n</w:t>
      </w:r>
      <w:r w:rsidRPr="00786890">
        <w:rPr>
          <w:sz w:val="16"/>
          <w:szCs w:val="16"/>
        </w:rPr>
        <w:t xml:space="preserve"> a actividad económica no especificada.</w:t>
      </w:r>
      <w:r w:rsidR="00DB7D21" w:rsidRPr="00786890">
        <w:rPr>
          <w:sz w:val="16"/>
          <w:szCs w:val="16"/>
        </w:rPr>
        <w:t xml:space="preserve"> </w:t>
      </w:r>
      <w:r w:rsidR="00DB7D21" w:rsidRPr="00786890">
        <w:rPr>
          <w:rFonts w:eastAsiaTheme="minorHAnsi"/>
          <w:sz w:val="16"/>
          <w:szCs w:val="16"/>
          <w:shd w:val="clear" w:color="auto" w:fill="FFFFFF"/>
          <w:lang w:eastAsia="en-US"/>
        </w:rPr>
        <w:t>El sector primario</w:t>
      </w:r>
      <w:r w:rsidR="00886F8A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aglutina </w:t>
      </w:r>
      <w:r w:rsidR="00DB7D21" w:rsidRPr="00786890">
        <w:rPr>
          <w:rFonts w:eastAsiaTheme="minorHAnsi"/>
          <w:sz w:val="16"/>
          <w:szCs w:val="16"/>
          <w:shd w:val="clear" w:color="auto" w:fill="FFFFFF"/>
          <w:lang w:eastAsia="en-US"/>
        </w:rPr>
        <w:t>todas las actividades encaminadas a extraer o cosechar productos de la tierra</w:t>
      </w:r>
      <w:r w:rsidR="00D901CF">
        <w:rPr>
          <w:rFonts w:eastAsiaTheme="minorHAnsi"/>
          <w:sz w:val="16"/>
          <w:szCs w:val="16"/>
          <w:shd w:val="clear" w:color="auto" w:fill="FFFFFF"/>
          <w:lang w:eastAsia="en-US"/>
        </w:rPr>
        <w:t>. E</w:t>
      </w:r>
      <w:r w:rsidR="00DB7D21" w:rsidRPr="00786890">
        <w:rPr>
          <w:rFonts w:eastAsiaTheme="minorHAnsi"/>
          <w:sz w:val="16"/>
          <w:szCs w:val="16"/>
          <w:shd w:val="clear" w:color="auto" w:fill="FFFFFF"/>
          <w:lang w:eastAsia="en-US"/>
        </w:rPr>
        <w:t>l sector secundario</w:t>
      </w:r>
      <w:r w:rsidR="00886F8A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 se encarga </w:t>
      </w:r>
      <w:r w:rsidR="00DB7D21" w:rsidRPr="00786890">
        <w:rPr>
          <w:rFonts w:eastAsiaTheme="minorHAnsi"/>
          <w:sz w:val="16"/>
          <w:szCs w:val="16"/>
          <w:shd w:val="clear" w:color="auto" w:fill="FFFFFF"/>
          <w:lang w:eastAsia="en-US"/>
        </w:rPr>
        <w:t>del procesamiento de las materias primas, la fabricación industrial y todas las actividades relacionadas con la fabricación</w:t>
      </w:r>
      <w:r w:rsidR="00886F8A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. El </w:t>
      </w:r>
      <w:r w:rsidR="00DB7D21" w:rsidRPr="00786890">
        <w:rPr>
          <w:rFonts w:eastAsiaTheme="minorHAnsi"/>
          <w:sz w:val="16"/>
          <w:szCs w:val="16"/>
          <w:shd w:val="clear" w:color="auto" w:fill="FFFFFF"/>
          <w:lang w:eastAsia="en-US"/>
        </w:rPr>
        <w:t>sector terciario es el que ofrece servicios de todo tipo a la población en general.</w:t>
      </w:r>
    </w:p>
    <w:p w14:paraId="49A5CA51" w14:textId="11082287" w:rsidR="000F5B5A" w:rsidRDefault="000F5B5A" w:rsidP="00387A87">
      <w:pPr>
        <w:kinsoku w:val="0"/>
        <w:overflowPunct w:val="0"/>
        <w:spacing w:after="240"/>
        <w:ind w:left="1985" w:right="1355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13C6AFE8" w14:textId="05F98FB2" w:rsidR="000A51AB" w:rsidRDefault="000A51AB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</w:p>
    <w:p w14:paraId="5FCFDDDB" w14:textId="70F110F3" w:rsidR="00644151" w:rsidRDefault="00644151" w:rsidP="001D3FF0">
      <w:pPr>
        <w:pStyle w:val="Textoindependiente"/>
        <w:kinsoku w:val="0"/>
        <w:overflowPunct w:val="0"/>
        <w:spacing w:after="240"/>
        <w:ind w:left="0" w:right="-66"/>
        <w:jc w:val="both"/>
      </w:pPr>
      <w:r>
        <w:t xml:space="preserve">A nivel nacional, </w:t>
      </w:r>
      <w:r w:rsidR="00B23FDA">
        <w:t>tres</w:t>
      </w:r>
      <w:r>
        <w:t xml:space="preserve"> </w:t>
      </w:r>
      <w:r w:rsidR="004D7895">
        <w:t xml:space="preserve">trabajadoras o </w:t>
      </w:r>
      <w:r>
        <w:t xml:space="preserve">trabajadores por cada </w:t>
      </w:r>
      <w:r w:rsidR="00886F8A">
        <w:t xml:space="preserve">mil </w:t>
      </w:r>
      <w:r>
        <w:t xml:space="preserve">personas </w:t>
      </w:r>
      <w:r w:rsidR="003747E3">
        <w:t>ocupadas</w:t>
      </w:r>
      <w:r w:rsidR="00A6191A">
        <w:rPr>
          <w:vertAlign w:val="superscript"/>
        </w:rPr>
        <w:t>3</w:t>
      </w:r>
      <w:r w:rsidR="003747E3">
        <w:t xml:space="preserve"> registraron </w:t>
      </w:r>
      <w:r>
        <w:t>demandas de conflictos de trabajo (individuales y colectivos). Por entidad federativa sobresal</w:t>
      </w:r>
      <w:r w:rsidR="001B7C9A">
        <w:t>iero</w:t>
      </w:r>
      <w:r>
        <w:t xml:space="preserve">n </w:t>
      </w:r>
      <w:r w:rsidR="00DE5DDC">
        <w:t>Ciudad de México</w:t>
      </w:r>
      <w:r w:rsidR="001B30DE">
        <w:t>,</w:t>
      </w:r>
      <w:r w:rsidR="00DE5DDC">
        <w:t xml:space="preserve"> con </w:t>
      </w:r>
      <w:r w:rsidR="00EB443F">
        <w:t xml:space="preserve">una tasa de </w:t>
      </w:r>
      <w:r w:rsidR="00DE5DDC">
        <w:t>ocho</w:t>
      </w:r>
      <w:r w:rsidR="00572412">
        <w:t xml:space="preserve"> </w:t>
      </w:r>
      <w:r w:rsidR="00DE5DDC">
        <w:t>trabajadores</w:t>
      </w:r>
      <w:r w:rsidR="00886F8A">
        <w:t>;</w:t>
      </w:r>
      <w:r>
        <w:t xml:space="preserve"> </w:t>
      </w:r>
      <w:r w:rsidR="00DE5DDC">
        <w:t>Sonora y Nuevo León</w:t>
      </w:r>
      <w:r w:rsidR="001B30DE">
        <w:t>,</w:t>
      </w:r>
      <w:r w:rsidR="00DE5DDC">
        <w:t xml:space="preserve"> con seis</w:t>
      </w:r>
      <w:r w:rsidR="00886F8A">
        <w:t xml:space="preserve"> </w:t>
      </w:r>
      <w:r w:rsidR="00A81877">
        <w:t>cada un</w:t>
      </w:r>
      <w:r w:rsidR="00392697">
        <w:t>a</w:t>
      </w:r>
      <w:r w:rsidR="00B968BE">
        <w:t xml:space="preserve"> </w:t>
      </w:r>
      <w:r w:rsidR="00886F8A">
        <w:t>y</w:t>
      </w:r>
      <w:r w:rsidR="00572412">
        <w:t xml:space="preserve"> C</w:t>
      </w:r>
      <w:r>
        <w:t>oahuila de Zaragoza</w:t>
      </w:r>
      <w:r w:rsidR="00DE5DDC">
        <w:t xml:space="preserve"> </w:t>
      </w:r>
      <w:r w:rsidR="00342301">
        <w:t>y Chihuahua</w:t>
      </w:r>
      <w:r w:rsidR="00886F8A">
        <w:t>,</w:t>
      </w:r>
      <w:r>
        <w:t xml:space="preserve"> con </w:t>
      </w:r>
      <w:r w:rsidR="00DE5DDC">
        <w:t>cinco</w:t>
      </w:r>
      <w:r w:rsidR="00D901CF">
        <w:t xml:space="preserve"> cada un</w:t>
      </w:r>
      <w:r w:rsidR="00392697">
        <w:t>a</w:t>
      </w:r>
      <w:r>
        <w:t>.</w:t>
      </w:r>
    </w:p>
    <w:p w14:paraId="2A0E37D6" w14:textId="655AA66E" w:rsidR="00A8495B" w:rsidRPr="00084797" w:rsidRDefault="00A8495B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lastRenderedPageBreak/>
        <w:t xml:space="preserve">Gráfica </w:t>
      </w:r>
      <w:r w:rsidR="00417A5C">
        <w:rPr>
          <w:sz w:val="20"/>
          <w:szCs w:val="20"/>
        </w:rPr>
        <w:t>10</w:t>
      </w:r>
    </w:p>
    <w:p w14:paraId="5794E627" w14:textId="6B7C3D93" w:rsidR="00644151" w:rsidRDefault="00237A01" w:rsidP="009C3ECE">
      <w:pPr>
        <w:pStyle w:val="Textoindependiente"/>
        <w:keepNext/>
        <w:keepLines/>
        <w:kinsoku w:val="0"/>
        <w:overflowPunct w:val="0"/>
        <w:ind w:left="0"/>
        <w:jc w:val="center"/>
        <w:rPr>
          <w:rFonts w:ascii="Arial Negrita" w:hAnsi="Arial Negrita"/>
          <w:b/>
          <w:smallCaps/>
          <w:sz w:val="22"/>
          <w:szCs w:val="22"/>
        </w:rPr>
      </w:pPr>
      <w:r>
        <w:rPr>
          <w:rFonts w:ascii="Arial Negrita" w:hAnsi="Arial Negrita"/>
          <w:b/>
          <w:smallCaps/>
          <w:sz w:val="22"/>
          <w:szCs w:val="22"/>
        </w:rPr>
        <w:t>Tasa de</w:t>
      </w:r>
      <w:r w:rsidR="00B968BE">
        <w:rPr>
          <w:rFonts w:ascii="Arial Negrita" w:hAnsi="Arial Negrita"/>
          <w:b/>
          <w:smallCaps/>
          <w:sz w:val="22"/>
          <w:szCs w:val="22"/>
        </w:rPr>
        <w:t xml:space="preserve"> las y los</w:t>
      </w:r>
      <w:r>
        <w:rPr>
          <w:rFonts w:ascii="Arial Negrita" w:hAnsi="Arial Negrita"/>
          <w:b/>
          <w:smallCaps/>
          <w:sz w:val="22"/>
          <w:szCs w:val="22"/>
        </w:rPr>
        <w:t xml:space="preserve"> trabajadores que demandaron c</w:t>
      </w:r>
      <w:r w:rsidRPr="00774F63">
        <w:rPr>
          <w:rFonts w:ascii="Arial Negrita" w:hAnsi="Arial Negrita"/>
          <w:b/>
          <w:smallCaps/>
          <w:sz w:val="22"/>
          <w:szCs w:val="22"/>
        </w:rPr>
        <w:t>o</w:t>
      </w:r>
      <w:r>
        <w:rPr>
          <w:rFonts w:ascii="Arial Negrita" w:hAnsi="Arial Negrita"/>
          <w:b/>
          <w:smallCaps/>
          <w:sz w:val="22"/>
          <w:szCs w:val="22"/>
        </w:rPr>
        <w:t>nflictos</w:t>
      </w:r>
      <w:r w:rsidRPr="00774F63">
        <w:rPr>
          <w:rFonts w:ascii="Arial Negrita" w:hAnsi="Arial Negrita"/>
          <w:b/>
          <w:smallCaps/>
          <w:sz w:val="22"/>
          <w:szCs w:val="22"/>
        </w:rPr>
        <w:t xml:space="preserve"> </w:t>
      </w:r>
      <w:r>
        <w:rPr>
          <w:rFonts w:ascii="Arial Negrita" w:hAnsi="Arial Negrita"/>
          <w:b/>
          <w:smallCaps/>
          <w:sz w:val="22"/>
          <w:szCs w:val="22"/>
        </w:rPr>
        <w:t>de</w:t>
      </w:r>
      <w:r w:rsidRPr="00774F63">
        <w:rPr>
          <w:rFonts w:ascii="Arial Negrita" w:hAnsi="Arial Negrita"/>
          <w:b/>
          <w:smallCaps/>
          <w:sz w:val="22"/>
          <w:szCs w:val="22"/>
        </w:rPr>
        <w:t xml:space="preserve"> trabajo por </w:t>
      </w:r>
      <w:r>
        <w:rPr>
          <w:rFonts w:ascii="Arial Negrita" w:hAnsi="Arial Negrita"/>
          <w:b/>
          <w:smallCaps/>
          <w:sz w:val="22"/>
          <w:szCs w:val="22"/>
        </w:rPr>
        <w:t xml:space="preserve">cada mil </w:t>
      </w:r>
      <w:r w:rsidR="00C92835">
        <w:rPr>
          <w:rFonts w:ascii="Arial Negrita" w:hAnsi="Arial Negrita"/>
          <w:b/>
          <w:smallCaps/>
          <w:sz w:val="22"/>
          <w:szCs w:val="22"/>
        </w:rPr>
        <w:t>personas ocupadas</w:t>
      </w:r>
      <w:r w:rsidR="001F61D4" w:rsidRPr="001F61D4">
        <w:rPr>
          <w:rFonts w:ascii="Arial Negrita" w:hAnsi="Arial Negrita"/>
          <w:b/>
          <w:smallCaps/>
          <w:sz w:val="22"/>
          <w:szCs w:val="22"/>
          <w:vertAlign w:val="superscript"/>
        </w:rPr>
        <w:t>1</w:t>
      </w:r>
      <w:r w:rsidR="00D901CF">
        <w:rPr>
          <w:rFonts w:ascii="Arial Negrita" w:hAnsi="Arial Negrita"/>
          <w:b/>
          <w:smallCaps/>
          <w:sz w:val="22"/>
          <w:szCs w:val="22"/>
          <w:vertAlign w:val="superscript"/>
        </w:rPr>
        <w:t>/</w:t>
      </w:r>
    </w:p>
    <w:p w14:paraId="2CFBBB59" w14:textId="7202B962" w:rsidR="009F4B84" w:rsidRPr="00F95A40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1AC13419" w14:textId="79454906" w:rsidR="001114A1" w:rsidRPr="00774F63" w:rsidRDefault="001114A1" w:rsidP="009F4B84">
      <w:pPr>
        <w:pStyle w:val="Textoindependiente"/>
        <w:keepNext/>
        <w:kinsoku w:val="0"/>
        <w:overflowPunct w:val="0"/>
        <w:ind w:left="0"/>
        <w:jc w:val="center"/>
        <w:rPr>
          <w:rFonts w:ascii="Arial Negrita" w:hAnsi="Arial Negrita"/>
          <w:b/>
          <w:smallCaps/>
          <w:sz w:val="22"/>
          <w:szCs w:val="22"/>
        </w:rPr>
      </w:pPr>
      <w:r w:rsidRPr="001114A1">
        <w:rPr>
          <w:rFonts w:ascii="Arial Negrita" w:hAnsi="Arial Negrita"/>
          <w:b/>
          <w:smallCaps/>
          <w:noProof/>
          <w:sz w:val="22"/>
          <w:szCs w:val="22"/>
        </w:rPr>
        <w:drawing>
          <wp:inline distT="0" distB="0" distL="0" distR="0" wp14:anchorId="720F593F" wp14:editId="51DFBFA5">
            <wp:extent cx="5830114" cy="5887272"/>
            <wp:effectExtent l="0" t="0" r="0" b="0"/>
            <wp:docPr id="1627266593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266593" name="Imagen 1" descr="Gráfico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58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D610F" w14:textId="3658DB3A" w:rsidR="00AA0260" w:rsidRPr="00866F14" w:rsidRDefault="003D1390" w:rsidP="00E93AA4">
      <w:pPr>
        <w:pStyle w:val="Textoindependiente"/>
        <w:kinsoku w:val="0"/>
        <w:overflowPunct w:val="0"/>
        <w:ind w:left="993" w:right="359" w:hanging="567"/>
        <w:jc w:val="both"/>
        <w:rPr>
          <w:position w:val="7"/>
          <w:sz w:val="16"/>
          <w:szCs w:val="16"/>
        </w:rPr>
      </w:pPr>
      <w:r w:rsidRPr="001F61D4">
        <w:rPr>
          <w:rFonts w:eastAsia="Calibri"/>
          <w:sz w:val="16"/>
          <w:szCs w:val="16"/>
          <w:vertAlign w:val="superscript"/>
          <w:lang w:eastAsia="en-US"/>
        </w:rPr>
        <w:t>1</w:t>
      </w:r>
      <w:r w:rsidR="00D23926">
        <w:rPr>
          <w:rFonts w:eastAsia="Calibri"/>
          <w:sz w:val="16"/>
          <w:szCs w:val="16"/>
          <w:vertAlign w:val="superscript"/>
          <w:lang w:eastAsia="en-US"/>
        </w:rPr>
        <w:t>/</w:t>
      </w:r>
      <w:r w:rsidR="00AA0260">
        <w:rPr>
          <w:position w:val="7"/>
          <w:sz w:val="16"/>
          <w:szCs w:val="16"/>
        </w:rPr>
        <w:tab/>
      </w:r>
      <w:r w:rsidR="00AA0260" w:rsidRPr="00F42339">
        <w:rPr>
          <w:sz w:val="16"/>
          <w:szCs w:val="16"/>
        </w:rPr>
        <w:t>Información correspondiente al cuarto trimestre de 2022 de la ENOE</w:t>
      </w:r>
      <w:r w:rsidR="00A4332F" w:rsidRPr="00F95A40">
        <w:rPr>
          <w:sz w:val="16"/>
          <w:szCs w:val="16"/>
          <w:vertAlign w:val="superscript"/>
        </w:rPr>
        <w:t>N</w:t>
      </w:r>
      <w:r w:rsidR="00AA0260" w:rsidRPr="00F42339">
        <w:rPr>
          <w:sz w:val="16"/>
          <w:szCs w:val="16"/>
        </w:rPr>
        <w:t xml:space="preserve">. El personal ocupado corresponde a «Personas de 15 </w:t>
      </w:r>
      <w:proofErr w:type="gramStart"/>
      <w:r w:rsidR="00D23926">
        <w:rPr>
          <w:sz w:val="16"/>
          <w:szCs w:val="16"/>
        </w:rPr>
        <w:t xml:space="preserve">años </w:t>
      </w:r>
      <w:r w:rsidR="000B1E74">
        <w:rPr>
          <w:sz w:val="16"/>
          <w:szCs w:val="16"/>
        </w:rPr>
        <w:t>de edad</w:t>
      </w:r>
      <w:proofErr w:type="gramEnd"/>
      <w:r w:rsidR="000B1E74">
        <w:rPr>
          <w:sz w:val="16"/>
          <w:szCs w:val="16"/>
        </w:rPr>
        <w:t xml:space="preserve"> </w:t>
      </w:r>
      <w:r w:rsidR="00AA0260" w:rsidRPr="00F42339">
        <w:rPr>
          <w:sz w:val="16"/>
          <w:szCs w:val="16"/>
        </w:rPr>
        <w:t>y más que en la</w:t>
      </w:r>
      <w:r w:rsidR="00AA0260">
        <w:rPr>
          <w:sz w:val="16"/>
          <w:szCs w:val="16"/>
        </w:rPr>
        <w:t xml:space="preserve"> </w:t>
      </w:r>
      <w:r w:rsidR="00AA0260" w:rsidRPr="00F42339">
        <w:rPr>
          <w:sz w:val="16"/>
          <w:szCs w:val="16"/>
        </w:rPr>
        <w:t>semana de referencia realizaron alguna actividad económica durante al menos una hora. Incluye a las y los ocupados que tenían trabajo, pero no lo desempeñaron temporalmente por alguna razón, sin que por ello perdieran el vínculo laboral con este; así</w:t>
      </w:r>
      <w:r w:rsidR="00AA0260" w:rsidRPr="009C3ECE">
        <w:rPr>
          <w:sz w:val="16"/>
          <w:szCs w:val="16"/>
        </w:rPr>
        <w:t xml:space="preserve"> como a quienes ayudaron en alguna actividad económica sin recibir un sueldo o salario</w:t>
      </w:r>
      <w:r w:rsidR="00AA0260">
        <w:rPr>
          <w:sz w:val="16"/>
          <w:szCs w:val="16"/>
        </w:rPr>
        <w:t>»</w:t>
      </w:r>
      <w:r w:rsidR="00AA0260" w:rsidRPr="009C3ECE">
        <w:rPr>
          <w:sz w:val="16"/>
          <w:szCs w:val="16"/>
        </w:rPr>
        <w:t>.</w:t>
      </w:r>
    </w:p>
    <w:p w14:paraId="06AE8C3A" w14:textId="2FA51936" w:rsidR="000F5B5A" w:rsidRPr="00866F14" w:rsidRDefault="000F5B5A" w:rsidP="00E93AA4">
      <w:pPr>
        <w:kinsoku w:val="0"/>
        <w:overflowPunct w:val="0"/>
        <w:spacing w:after="240"/>
        <w:ind w:left="993" w:right="359" w:hanging="567"/>
        <w:jc w:val="both"/>
        <w:rPr>
          <w:rFonts w:ascii="Arial" w:eastAsia="Times New Roman" w:hAnsi="Arial" w:cs="Arial"/>
          <w:sz w:val="16"/>
          <w:szCs w:val="16"/>
        </w:rPr>
      </w:pPr>
      <w:r w:rsidRPr="00866F14">
        <w:rPr>
          <w:rFonts w:ascii="Arial" w:eastAsia="Times New Roman" w:hAnsi="Arial" w:cs="Arial"/>
          <w:sz w:val="16"/>
          <w:szCs w:val="16"/>
        </w:rPr>
        <w:t>Fuente:</w:t>
      </w:r>
      <w:r w:rsidRPr="00866F14">
        <w:rPr>
          <w:rFonts w:ascii="Arial" w:eastAsia="Times New Roman" w:hAnsi="Arial" w:cs="Arial"/>
          <w:sz w:val="16"/>
          <w:szCs w:val="16"/>
        </w:rPr>
        <w:tab/>
        <w:t xml:space="preserve">INEGI. Estadísticas sobre Relaciones Laborales de Jurisdicción Local </w:t>
      </w:r>
      <w:r w:rsidR="00E67DB3" w:rsidRPr="00866F14">
        <w:rPr>
          <w:rFonts w:ascii="Arial" w:eastAsia="Times New Roman" w:hAnsi="Arial" w:cs="Arial"/>
          <w:sz w:val="16"/>
          <w:szCs w:val="16"/>
        </w:rPr>
        <w:t xml:space="preserve">(ERLAJUL), </w:t>
      </w:r>
      <w:r w:rsidRPr="00866F14">
        <w:rPr>
          <w:rFonts w:ascii="Arial" w:eastAsia="Times New Roman" w:hAnsi="Arial" w:cs="Arial"/>
          <w:sz w:val="16"/>
          <w:szCs w:val="16"/>
        </w:rPr>
        <w:t>2022</w:t>
      </w:r>
    </w:p>
    <w:p w14:paraId="64680B29" w14:textId="61A1F1BF" w:rsidR="00644151" w:rsidRDefault="00644151" w:rsidP="00D23926">
      <w:pPr>
        <w:pStyle w:val="Textoindependiente"/>
        <w:kinsoku w:val="0"/>
        <w:overflowPunct w:val="0"/>
        <w:ind w:left="0"/>
        <w:jc w:val="both"/>
      </w:pPr>
      <w:r>
        <w:br w:type="page"/>
      </w:r>
      <w:r w:rsidR="00B4607B">
        <w:rPr>
          <w:rStyle w:val="ui-provider"/>
        </w:rPr>
        <w:lastRenderedPageBreak/>
        <w:t>Las entidades federativas con el mayor número de conflictos individuales por cada cien conflictos registrados a nivel nacional fueron: Ciudad de México, con 24 casos; Jalisco, con 11; Nuevo León, con nueve; Chihuahua y Sonora</w:t>
      </w:r>
      <w:r w:rsidR="00813535">
        <w:rPr>
          <w:rStyle w:val="ui-provider"/>
        </w:rPr>
        <w:t>,</w:t>
      </w:r>
      <w:r w:rsidR="00B4607B">
        <w:rPr>
          <w:rStyle w:val="ui-provider"/>
        </w:rPr>
        <w:t xml:space="preserve"> con seis cada un</w:t>
      </w:r>
      <w:r w:rsidR="00392697">
        <w:rPr>
          <w:rStyle w:val="ui-provider"/>
        </w:rPr>
        <w:t>a</w:t>
      </w:r>
      <w:r w:rsidR="00813535">
        <w:rPr>
          <w:rStyle w:val="ui-provider"/>
        </w:rPr>
        <w:t>,</w:t>
      </w:r>
      <w:r w:rsidR="00B4607B">
        <w:rPr>
          <w:rStyle w:val="ui-provider"/>
        </w:rPr>
        <w:t xml:space="preserve"> y Coahuila de Zaragoza, con cinco. Las que presentaron el mayor número de conflictos colectivos por cada cien registrados fueron: Ciudad de México, con 54 casos; México, con 16; Puebla, con ocho; Oaxaca, con tres y Guanajuato y Querétaro, con dos cada un</w:t>
      </w:r>
      <w:r w:rsidR="00392697">
        <w:rPr>
          <w:rStyle w:val="ui-provider"/>
        </w:rPr>
        <w:t>a</w:t>
      </w:r>
      <w:r w:rsidR="00B4607B">
        <w:rPr>
          <w:rStyle w:val="ui-provider"/>
        </w:rPr>
        <w:t>.</w:t>
      </w:r>
    </w:p>
    <w:p w14:paraId="3FE8EDD2" w14:textId="77777777" w:rsidR="00D23926" w:rsidRPr="00AB4251" w:rsidRDefault="00D23926" w:rsidP="00D23926">
      <w:pPr>
        <w:pStyle w:val="Textoindependiente"/>
        <w:kinsoku w:val="0"/>
        <w:overflowPunct w:val="0"/>
        <w:ind w:left="0"/>
        <w:jc w:val="both"/>
      </w:pPr>
    </w:p>
    <w:p w14:paraId="6CBEF9F7" w14:textId="46AE1EFA" w:rsidR="00417A5C" w:rsidRPr="000D236E" w:rsidRDefault="00417A5C" w:rsidP="00D23926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D236E">
        <w:rPr>
          <w:sz w:val="20"/>
          <w:szCs w:val="20"/>
        </w:rPr>
        <w:t>Gr</w:t>
      </w:r>
      <w:r w:rsidR="009F31EA">
        <w:rPr>
          <w:sz w:val="20"/>
          <w:szCs w:val="20"/>
        </w:rPr>
        <w:t>á</w:t>
      </w:r>
      <w:r w:rsidRPr="000D236E">
        <w:rPr>
          <w:sz w:val="20"/>
          <w:szCs w:val="20"/>
        </w:rPr>
        <w:t>fica</w:t>
      </w:r>
      <w:r w:rsidR="00E51CBA">
        <w:rPr>
          <w:sz w:val="20"/>
          <w:szCs w:val="20"/>
        </w:rPr>
        <w:t xml:space="preserve"> </w:t>
      </w:r>
      <w:r w:rsidRPr="000D236E">
        <w:rPr>
          <w:sz w:val="20"/>
          <w:szCs w:val="20"/>
        </w:rPr>
        <w:t>11</w:t>
      </w:r>
    </w:p>
    <w:p w14:paraId="7EC32933" w14:textId="1237387E" w:rsidR="00BC4D1B" w:rsidRDefault="00D23926" w:rsidP="00D23926">
      <w:pPr>
        <w:keepNext/>
        <w:widowControl/>
        <w:autoSpaceDE/>
        <w:autoSpaceDN/>
        <w:adjustRightInd/>
        <w:jc w:val="center"/>
        <w:rPr>
          <w:rFonts w:ascii="Arial Negrita" w:hAnsi="Arial Negrita"/>
          <w:b/>
          <w:smallCaps/>
          <w:sz w:val="22"/>
          <w:szCs w:val="22"/>
        </w:rPr>
      </w:pPr>
      <w:r>
        <w:rPr>
          <w:rFonts w:ascii="Arial Negrita" w:hAnsi="Arial Negrita"/>
          <w:b/>
          <w:smallCaps/>
          <w:sz w:val="22"/>
          <w:szCs w:val="22"/>
        </w:rPr>
        <w:t>C</w:t>
      </w:r>
      <w:r w:rsidR="00BC4D1B">
        <w:rPr>
          <w:rFonts w:ascii="Arial Negrita" w:hAnsi="Arial Negrita"/>
          <w:b/>
          <w:smallCaps/>
          <w:sz w:val="22"/>
          <w:szCs w:val="22"/>
        </w:rPr>
        <w:t>onflictos de</w:t>
      </w:r>
      <w:r w:rsidR="00BC4D1B" w:rsidRPr="00774F63">
        <w:rPr>
          <w:rFonts w:ascii="Arial Negrita" w:hAnsi="Arial Negrita"/>
          <w:b/>
          <w:smallCaps/>
          <w:sz w:val="22"/>
          <w:szCs w:val="22"/>
        </w:rPr>
        <w:t xml:space="preserve"> trabajo</w:t>
      </w:r>
      <w:r>
        <w:rPr>
          <w:rFonts w:ascii="Arial Negrita" w:hAnsi="Arial Negrita"/>
          <w:b/>
          <w:smallCaps/>
          <w:sz w:val="22"/>
          <w:szCs w:val="22"/>
        </w:rPr>
        <w:t>, según</w:t>
      </w:r>
      <w:r w:rsidR="00BC4D1B" w:rsidRPr="00774F63">
        <w:rPr>
          <w:rFonts w:ascii="Arial Negrita" w:hAnsi="Arial Negrita"/>
          <w:b/>
          <w:smallCaps/>
          <w:sz w:val="22"/>
          <w:szCs w:val="22"/>
        </w:rPr>
        <w:t xml:space="preserve"> </w:t>
      </w:r>
      <w:r w:rsidR="00BC4D1B">
        <w:rPr>
          <w:rFonts w:ascii="Arial Negrita" w:hAnsi="Arial Negrita"/>
          <w:b/>
          <w:smallCaps/>
          <w:sz w:val="22"/>
          <w:szCs w:val="22"/>
        </w:rPr>
        <w:t>entidad federativa</w:t>
      </w:r>
    </w:p>
    <w:p w14:paraId="6C851CA7" w14:textId="14BD24DD" w:rsidR="009F4B84" w:rsidRDefault="009F4B84" w:rsidP="00D23926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373C0143" w14:textId="3FE87474" w:rsidR="00D23926" w:rsidRPr="00F95A40" w:rsidRDefault="00D23926" w:rsidP="00D23926">
      <w:pPr>
        <w:pStyle w:val="Textoindependiente"/>
        <w:keepNext/>
        <w:kinsoku w:val="0"/>
        <w:overflowPunct w:val="0"/>
        <w:ind w:left="0"/>
        <w:jc w:val="center"/>
        <w:rPr>
          <w:bCs/>
          <w:sz w:val="18"/>
          <w:szCs w:val="18"/>
        </w:rPr>
      </w:pPr>
      <w:bookmarkStart w:id="5" w:name="_Hlk138705129"/>
      <w:r w:rsidRPr="00F95A40">
        <w:rPr>
          <w:bCs/>
          <w:sz w:val="18"/>
          <w:szCs w:val="18"/>
        </w:rPr>
        <w:t>(Distribución porcentual)</w:t>
      </w:r>
    </w:p>
    <w:bookmarkEnd w:id="5"/>
    <w:p w14:paraId="4D8BFBE0" w14:textId="03AA09DD" w:rsidR="00BC4D1B" w:rsidRDefault="00DF2657" w:rsidP="00D04CB8">
      <w:pPr>
        <w:pStyle w:val="Textoindependiente"/>
        <w:kinsoku w:val="0"/>
        <w:overflowPunct w:val="0"/>
        <w:spacing w:before="85"/>
        <w:ind w:left="0"/>
        <w:jc w:val="both"/>
      </w:pPr>
      <w:r w:rsidRPr="00DF2657">
        <w:rPr>
          <w:noProof/>
        </w:rPr>
        <w:drawing>
          <wp:inline distT="0" distB="0" distL="0" distR="0" wp14:anchorId="2D4924C6" wp14:editId="317E7804">
            <wp:extent cx="6259830" cy="6049925"/>
            <wp:effectExtent l="0" t="0" r="7620" b="8255"/>
            <wp:docPr id="1481809616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09616" name="Imagen 1" descr="Gráfic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80153" cy="606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D7C1" w14:textId="1FAC49EA" w:rsidR="000A51AB" w:rsidRDefault="000F5B5A" w:rsidP="007A2126">
      <w:pPr>
        <w:kinsoku w:val="0"/>
        <w:overflowPunct w:val="0"/>
        <w:spacing w:after="240"/>
        <w:ind w:left="851" w:right="504" w:hanging="567"/>
        <w:rPr>
          <w:rFonts w:ascii="Arial" w:hAnsi="Arial" w:cs="Arial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  <w:r w:rsidR="000A51AB">
        <w:br w:type="page"/>
      </w:r>
    </w:p>
    <w:p w14:paraId="78E5A780" w14:textId="6D76CACC" w:rsidR="00DC495C" w:rsidRDefault="00B4607B" w:rsidP="001D3FF0">
      <w:pPr>
        <w:pStyle w:val="Textoindependiente"/>
        <w:keepLines/>
        <w:kinsoku w:val="0"/>
        <w:overflowPunct w:val="0"/>
        <w:ind w:left="0" w:right="-208"/>
        <w:jc w:val="both"/>
      </w:pPr>
      <w:r>
        <w:rPr>
          <w:rStyle w:val="ui-provider"/>
        </w:rPr>
        <w:lastRenderedPageBreak/>
        <w:t>En 2022, 85.8 % de los conflictos individuales de trabajo tuvo como motivo la demanda por despido injustificado. Esta situación también se presentó en 2021, con 87.7 por ciento.</w:t>
      </w:r>
    </w:p>
    <w:p w14:paraId="6EF806D9" w14:textId="77777777" w:rsidR="007C6E44" w:rsidRDefault="007C6E44" w:rsidP="00E93AA4">
      <w:pPr>
        <w:pStyle w:val="Textoindependiente"/>
        <w:keepLines/>
        <w:kinsoku w:val="0"/>
        <w:overflowPunct w:val="0"/>
        <w:ind w:left="0"/>
        <w:jc w:val="both"/>
      </w:pPr>
    </w:p>
    <w:p w14:paraId="68FC9F25" w14:textId="02B6A885" w:rsidR="00A8495B" w:rsidRPr="00084797" w:rsidRDefault="00A8495B" w:rsidP="00E93AA4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 w:rsidR="00417A5C">
        <w:rPr>
          <w:sz w:val="20"/>
          <w:szCs w:val="20"/>
        </w:rPr>
        <w:t>12</w:t>
      </w:r>
    </w:p>
    <w:p w14:paraId="45C3DC1C" w14:textId="22E19793" w:rsidR="00644151" w:rsidRDefault="00644151" w:rsidP="00E93AA4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Motivos que originaron los conflictos individuales de trabajo</w:t>
      </w:r>
    </w:p>
    <w:p w14:paraId="73C362AF" w14:textId="6B88C4BF" w:rsidR="009F4B84" w:rsidRDefault="009F4B84" w:rsidP="00E93AA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370BE897" w14:textId="32C274E5" w:rsidR="009C7E26" w:rsidRPr="00F95A40" w:rsidRDefault="009C7E26" w:rsidP="00E93AA4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2"/>
        </w:rPr>
      </w:pPr>
      <w:r w:rsidRPr="009C7E26">
        <w:rPr>
          <w:b/>
          <w:noProof/>
          <w:sz w:val="20"/>
          <w:szCs w:val="22"/>
        </w:rPr>
        <w:drawing>
          <wp:inline distT="0" distB="0" distL="0" distR="0" wp14:anchorId="690B479C" wp14:editId="69050ABC">
            <wp:extent cx="3343702" cy="2380265"/>
            <wp:effectExtent l="0" t="0" r="9525" b="1270"/>
            <wp:docPr id="55274045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4045" name="Imagen 1" descr="Gráfico, Gráfico circular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64735" cy="239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E7C9" w14:textId="24E2FF4A" w:rsidR="00E93AA4" w:rsidRDefault="00E93AA4" w:rsidP="008815D2">
      <w:pPr>
        <w:kinsoku w:val="0"/>
        <w:overflowPunct w:val="0"/>
        <w:ind w:left="1843" w:right="1635" w:hanging="142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</w:t>
      </w:r>
      <w:r w:rsidR="00885E2B">
        <w:rPr>
          <w:rFonts w:ascii="Arial" w:eastAsia="Times New Roman" w:hAnsi="Arial" w:cs="Arial"/>
          <w:sz w:val="16"/>
          <w:szCs w:val="16"/>
        </w:rPr>
        <w:t xml:space="preserve">  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9461AE">
        <w:rPr>
          <w:rFonts w:ascii="Arial" w:eastAsia="Times New Roman" w:hAnsi="Arial" w:cs="Arial"/>
          <w:sz w:val="16"/>
          <w:szCs w:val="16"/>
        </w:rPr>
        <w:t>Nota:</w:t>
      </w:r>
      <w:r w:rsidR="00931F0A">
        <w:rPr>
          <w:rFonts w:ascii="Arial" w:eastAsia="Times New Roman" w:hAnsi="Arial" w:cs="Arial"/>
          <w:sz w:val="16"/>
          <w:szCs w:val="16"/>
        </w:rPr>
        <w:t xml:space="preserve">    </w:t>
      </w:r>
      <w:r w:rsidR="00100585">
        <w:rPr>
          <w:rFonts w:ascii="Arial" w:eastAsia="Times New Roman" w:hAnsi="Arial" w:cs="Arial"/>
          <w:sz w:val="16"/>
          <w:szCs w:val="16"/>
        </w:rPr>
        <w:t>«</w:t>
      </w:r>
      <w:r w:rsidR="009461AE">
        <w:rPr>
          <w:rFonts w:ascii="Arial" w:eastAsia="Times New Roman" w:hAnsi="Arial" w:cs="Arial"/>
          <w:sz w:val="16"/>
          <w:szCs w:val="16"/>
        </w:rPr>
        <w:t>Otros</w:t>
      </w:r>
      <w:r w:rsidR="00100585">
        <w:rPr>
          <w:rFonts w:ascii="Arial" w:eastAsia="Times New Roman" w:hAnsi="Arial" w:cs="Arial"/>
          <w:sz w:val="16"/>
          <w:szCs w:val="16"/>
        </w:rPr>
        <w:t>»</w:t>
      </w:r>
      <w:r w:rsidR="009461AE">
        <w:rPr>
          <w:rFonts w:ascii="Arial" w:eastAsia="Times New Roman" w:hAnsi="Arial" w:cs="Arial"/>
          <w:sz w:val="16"/>
          <w:szCs w:val="16"/>
        </w:rPr>
        <w:t xml:space="preserve"> </w:t>
      </w:r>
      <w:r w:rsidR="00100585">
        <w:rPr>
          <w:rFonts w:ascii="Arial" w:eastAsia="Times New Roman" w:hAnsi="Arial" w:cs="Arial"/>
          <w:sz w:val="16"/>
          <w:szCs w:val="16"/>
        </w:rPr>
        <w:t>incluye</w:t>
      </w:r>
      <w:r w:rsidR="00B5601A">
        <w:rPr>
          <w:rFonts w:ascii="Arial" w:eastAsia="Times New Roman" w:hAnsi="Arial" w:cs="Arial"/>
          <w:sz w:val="16"/>
          <w:szCs w:val="16"/>
        </w:rPr>
        <w:t xml:space="preserve">: </w:t>
      </w:r>
      <w:r w:rsidR="009461AE">
        <w:rPr>
          <w:rFonts w:ascii="Arial" w:eastAsia="Times New Roman" w:hAnsi="Arial" w:cs="Arial"/>
          <w:sz w:val="16"/>
          <w:szCs w:val="16"/>
        </w:rPr>
        <w:t xml:space="preserve">violación de contrato, firma y revisión de contrato, </w:t>
      </w:r>
    </w:p>
    <w:p w14:paraId="5A00944F" w14:textId="3CA4AFA6" w:rsidR="009461AE" w:rsidRDefault="00E93AA4" w:rsidP="008815D2">
      <w:pPr>
        <w:kinsoku w:val="0"/>
        <w:overflowPunct w:val="0"/>
        <w:ind w:left="1843" w:right="1635" w:hanging="142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</w:t>
      </w:r>
      <w:r w:rsidR="00885E2B">
        <w:rPr>
          <w:rFonts w:ascii="Arial" w:eastAsia="Times New Roman" w:hAnsi="Arial" w:cs="Arial"/>
          <w:sz w:val="16"/>
          <w:szCs w:val="16"/>
        </w:rPr>
        <w:t xml:space="preserve">    </w:t>
      </w:r>
      <w:r w:rsidR="009461AE">
        <w:rPr>
          <w:rFonts w:ascii="Arial" w:eastAsia="Times New Roman" w:hAnsi="Arial" w:cs="Arial"/>
          <w:sz w:val="16"/>
          <w:szCs w:val="16"/>
        </w:rPr>
        <w:t>participación de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9461AE">
        <w:rPr>
          <w:rFonts w:ascii="Arial" w:eastAsia="Times New Roman" w:hAnsi="Arial" w:cs="Arial"/>
          <w:sz w:val="16"/>
          <w:szCs w:val="16"/>
        </w:rPr>
        <w:t>utilidades no especificado.</w:t>
      </w:r>
    </w:p>
    <w:p w14:paraId="20EECE1B" w14:textId="77777777" w:rsidR="00885E2B" w:rsidRDefault="00885E2B" w:rsidP="008815D2">
      <w:pPr>
        <w:kinsoku w:val="0"/>
        <w:overflowPunct w:val="0"/>
        <w:ind w:left="1844" w:right="1918" w:firstLine="28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</w:t>
      </w:r>
      <w:r w:rsidR="000F5B5A" w:rsidRPr="00B57FAC">
        <w:rPr>
          <w:rFonts w:ascii="Arial" w:eastAsia="Times New Roman" w:hAnsi="Arial" w:cs="Arial"/>
          <w:sz w:val="16"/>
          <w:szCs w:val="16"/>
        </w:rPr>
        <w:t>Fuente:</w:t>
      </w:r>
      <w:r w:rsidR="00931F0A">
        <w:rPr>
          <w:rFonts w:ascii="Arial" w:eastAsia="Times New Roman" w:hAnsi="Arial" w:cs="Arial"/>
          <w:sz w:val="16"/>
          <w:szCs w:val="16"/>
        </w:rPr>
        <w:t xml:space="preserve"> </w:t>
      </w:r>
      <w:r w:rsidR="000F5B5A">
        <w:rPr>
          <w:rFonts w:ascii="Arial" w:eastAsia="Times New Roman" w:hAnsi="Arial" w:cs="Arial"/>
          <w:sz w:val="16"/>
          <w:szCs w:val="16"/>
        </w:rPr>
        <w:t xml:space="preserve">INEGI. 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 w:rsidR="000F5B5A">
        <w:rPr>
          <w:rFonts w:ascii="Arial" w:eastAsia="Times New Roman" w:hAnsi="Arial" w:cs="Arial"/>
          <w:sz w:val="16"/>
          <w:szCs w:val="16"/>
        </w:rPr>
        <w:t>R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 w:rsidR="000F5B5A">
        <w:rPr>
          <w:rFonts w:ascii="Arial" w:eastAsia="Times New Roman" w:hAnsi="Arial" w:cs="Arial"/>
          <w:sz w:val="16"/>
          <w:szCs w:val="16"/>
        </w:rPr>
        <w:t>L</w:t>
      </w:r>
      <w:r w:rsidR="000F5B5A" w:rsidRPr="00B57FAC">
        <w:rPr>
          <w:rFonts w:ascii="Arial" w:eastAsia="Times New Roman" w:hAnsi="Arial" w:cs="Arial"/>
          <w:sz w:val="16"/>
          <w:szCs w:val="16"/>
        </w:rPr>
        <w:t>aborales</w:t>
      </w:r>
      <w:r w:rsidR="000F5B5A">
        <w:rPr>
          <w:rFonts w:ascii="Arial" w:eastAsia="Times New Roman" w:hAnsi="Arial" w:cs="Arial"/>
          <w:sz w:val="16"/>
          <w:szCs w:val="16"/>
        </w:rPr>
        <w:t xml:space="preserve"> de Jurisdicción </w:t>
      </w:r>
    </w:p>
    <w:p w14:paraId="5B6DDDB1" w14:textId="4A12A03D" w:rsidR="000F5B5A" w:rsidRPr="00B57FAC" w:rsidRDefault="00885E2B" w:rsidP="00885E2B">
      <w:pPr>
        <w:kinsoku w:val="0"/>
        <w:overflowPunct w:val="0"/>
        <w:ind w:left="1844" w:right="1918" w:firstLine="28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</w:t>
      </w:r>
      <w:r w:rsidR="000F5B5A">
        <w:rPr>
          <w:rFonts w:ascii="Arial" w:eastAsia="Times New Roman" w:hAnsi="Arial" w:cs="Arial"/>
          <w:sz w:val="16"/>
          <w:szCs w:val="16"/>
        </w:rPr>
        <w:t xml:space="preserve">Local </w:t>
      </w:r>
      <w:r w:rsidR="00E67DB3">
        <w:rPr>
          <w:rFonts w:ascii="Arial" w:eastAsia="Times New Roman" w:hAnsi="Arial" w:cs="Arial"/>
          <w:sz w:val="16"/>
          <w:szCs w:val="16"/>
        </w:rPr>
        <w:t>(ERLAJUL),</w:t>
      </w:r>
      <w:r w:rsidR="00E93AA4">
        <w:rPr>
          <w:rFonts w:ascii="Arial" w:eastAsia="Times New Roman" w:hAnsi="Arial" w:cs="Arial"/>
          <w:sz w:val="16"/>
          <w:szCs w:val="16"/>
        </w:rPr>
        <w:t xml:space="preserve"> </w:t>
      </w:r>
      <w:r w:rsidR="000F5B5A">
        <w:rPr>
          <w:rFonts w:ascii="Arial" w:eastAsia="Times New Roman" w:hAnsi="Arial" w:cs="Arial"/>
          <w:sz w:val="16"/>
          <w:szCs w:val="16"/>
        </w:rPr>
        <w:t>2022</w:t>
      </w:r>
    </w:p>
    <w:p w14:paraId="4B3C2730" w14:textId="77777777" w:rsidR="00E93AA4" w:rsidRDefault="00E93AA4" w:rsidP="00E93AA4">
      <w:pPr>
        <w:pStyle w:val="Textoindependiente"/>
        <w:kinsoku w:val="0"/>
        <w:overflowPunct w:val="0"/>
        <w:ind w:left="0" w:right="-208"/>
        <w:rPr>
          <w:rStyle w:val="ui-provider"/>
        </w:rPr>
      </w:pPr>
    </w:p>
    <w:p w14:paraId="450B0A1A" w14:textId="7A0B025B" w:rsidR="00E93AA4" w:rsidRDefault="00B4607B" w:rsidP="00E93AA4">
      <w:pPr>
        <w:pStyle w:val="Textoindependiente"/>
        <w:kinsoku w:val="0"/>
        <w:overflowPunct w:val="0"/>
        <w:ind w:left="0" w:right="-66"/>
        <w:jc w:val="both"/>
        <w:rPr>
          <w:rStyle w:val="ui-provider"/>
        </w:rPr>
      </w:pPr>
      <w:r>
        <w:rPr>
          <w:rStyle w:val="ui-provider"/>
        </w:rPr>
        <w:t xml:space="preserve">De cada 100 conflictos individuales de trabajo registrados durante 2022, 37 reclamaron la indemnización conforme a los criterios establecidos en la ley y 14 lo hicieron por el pago de la prima de antigüedad. </w:t>
      </w:r>
      <w:r w:rsidR="00FB12CB">
        <w:rPr>
          <w:rStyle w:val="ui-provider"/>
        </w:rPr>
        <w:t>E</w:t>
      </w:r>
      <w:r w:rsidR="00805A7A">
        <w:rPr>
          <w:rStyle w:val="ui-provider"/>
        </w:rPr>
        <w:t>n 2021 se presentó una s</w:t>
      </w:r>
      <w:r>
        <w:rPr>
          <w:rStyle w:val="ui-provider"/>
        </w:rPr>
        <w:t>ituación similar</w:t>
      </w:r>
      <w:r w:rsidR="00805A7A">
        <w:rPr>
          <w:rStyle w:val="ui-provider"/>
        </w:rPr>
        <w:t xml:space="preserve">, </w:t>
      </w:r>
      <w:r>
        <w:rPr>
          <w:rStyle w:val="ui-provider"/>
        </w:rPr>
        <w:t>con 39 y 15, respectivamente.</w:t>
      </w:r>
    </w:p>
    <w:p w14:paraId="74C9D21E" w14:textId="77777777" w:rsidR="00E93AA4" w:rsidRDefault="00E93AA4" w:rsidP="00E93AA4">
      <w:pPr>
        <w:pStyle w:val="Textoindependiente"/>
        <w:kinsoku w:val="0"/>
        <w:overflowPunct w:val="0"/>
        <w:ind w:left="0" w:right="-66"/>
        <w:jc w:val="both"/>
        <w:rPr>
          <w:sz w:val="20"/>
          <w:szCs w:val="20"/>
        </w:rPr>
      </w:pPr>
    </w:p>
    <w:p w14:paraId="764D88D6" w14:textId="25E8F348" w:rsidR="001B7C9A" w:rsidRPr="00084797" w:rsidRDefault="001B7C9A" w:rsidP="00E93AA4">
      <w:pPr>
        <w:pStyle w:val="Textoindependiente"/>
        <w:kinsoku w:val="0"/>
        <w:overflowPunct w:val="0"/>
        <w:ind w:left="0" w:right="-66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>
        <w:rPr>
          <w:sz w:val="20"/>
          <w:szCs w:val="20"/>
        </w:rPr>
        <w:t>1</w:t>
      </w:r>
      <w:r w:rsidR="00417A5C">
        <w:rPr>
          <w:sz w:val="20"/>
          <w:szCs w:val="20"/>
        </w:rPr>
        <w:t>3</w:t>
      </w:r>
    </w:p>
    <w:p w14:paraId="74285EBD" w14:textId="7B00542F" w:rsidR="00734D80" w:rsidRDefault="00983E03" w:rsidP="009F4B84">
      <w:pPr>
        <w:pStyle w:val="Textoindependiente"/>
        <w:keepNext/>
        <w:kinsoku w:val="0"/>
        <w:overflowPunct w:val="0"/>
        <w:ind w:left="0"/>
        <w:jc w:val="center"/>
        <w:rPr>
          <w:b/>
          <w:bCs/>
          <w:smallCaps/>
          <w:sz w:val="22"/>
          <w:szCs w:val="22"/>
        </w:rPr>
      </w:pPr>
      <w:r w:rsidRPr="009C3ECE">
        <w:rPr>
          <w:b/>
          <w:bCs/>
          <w:smallCaps/>
          <w:sz w:val="22"/>
          <w:szCs w:val="22"/>
        </w:rPr>
        <w:t>Tipos de reclamos en los conflictos individuales de trabajo</w:t>
      </w:r>
    </w:p>
    <w:p w14:paraId="19F49D0E" w14:textId="279A84E4" w:rsidR="009F4B84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70976A91" w14:textId="433C6D56" w:rsidR="00F92755" w:rsidRPr="00F95A40" w:rsidRDefault="00D167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D16784">
        <w:rPr>
          <w:bCs/>
          <w:noProof/>
          <w:sz w:val="20"/>
          <w:szCs w:val="18"/>
        </w:rPr>
        <w:drawing>
          <wp:inline distT="0" distB="0" distL="0" distR="0" wp14:anchorId="003B672B" wp14:editId="29C7415A">
            <wp:extent cx="2446880" cy="2640841"/>
            <wp:effectExtent l="0" t="0" r="0" b="7620"/>
            <wp:docPr id="1847046741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46741" name="Imagen 1" descr="Gráfico, Gráfico circular&#10;&#10;Descripción generada automá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0079" cy="27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6179" w14:textId="1861CBB3" w:rsidR="00E93AA4" w:rsidRDefault="00931F0A" w:rsidP="00F95A40">
      <w:pPr>
        <w:pStyle w:val="Textoindependiente"/>
        <w:kinsoku w:val="0"/>
        <w:overflowPunct w:val="0"/>
        <w:ind w:left="0"/>
        <w:rPr>
          <w:rFonts w:eastAsia="Times New Roman"/>
          <w:sz w:val="16"/>
          <w:szCs w:val="16"/>
        </w:rPr>
      </w:pPr>
      <w:r>
        <w:rPr>
          <w:b/>
          <w:bCs/>
          <w:smallCaps/>
          <w:sz w:val="22"/>
          <w:szCs w:val="22"/>
        </w:rPr>
        <w:t xml:space="preserve">                                                     </w:t>
      </w:r>
      <w:r w:rsidR="00885E2B">
        <w:rPr>
          <w:b/>
          <w:bCs/>
          <w:smallCaps/>
          <w:sz w:val="22"/>
          <w:szCs w:val="22"/>
        </w:rPr>
        <w:t xml:space="preserve">       </w:t>
      </w:r>
      <w:r w:rsidR="000F5B5A" w:rsidRPr="00B57FAC">
        <w:rPr>
          <w:rFonts w:eastAsia="Times New Roman"/>
          <w:sz w:val="16"/>
          <w:szCs w:val="16"/>
        </w:rPr>
        <w:t>Fuente:</w:t>
      </w:r>
      <w:r>
        <w:rPr>
          <w:rFonts w:eastAsia="Times New Roman"/>
          <w:sz w:val="16"/>
          <w:szCs w:val="16"/>
        </w:rPr>
        <w:t xml:space="preserve"> </w:t>
      </w:r>
      <w:r w:rsidR="000F5B5A">
        <w:rPr>
          <w:rFonts w:eastAsia="Times New Roman"/>
          <w:sz w:val="16"/>
          <w:szCs w:val="16"/>
        </w:rPr>
        <w:t xml:space="preserve">INEGI. </w:t>
      </w:r>
      <w:r w:rsidR="000F5B5A" w:rsidRPr="00B57FAC">
        <w:rPr>
          <w:rFonts w:eastAsia="Times New Roman"/>
          <w:sz w:val="16"/>
          <w:szCs w:val="16"/>
        </w:rPr>
        <w:t xml:space="preserve">Estadísticas sobre </w:t>
      </w:r>
      <w:r w:rsidR="000F5B5A">
        <w:rPr>
          <w:rFonts w:eastAsia="Times New Roman"/>
          <w:sz w:val="16"/>
          <w:szCs w:val="16"/>
        </w:rPr>
        <w:t>R</w:t>
      </w:r>
      <w:r w:rsidR="000F5B5A" w:rsidRPr="00B57FAC">
        <w:rPr>
          <w:rFonts w:eastAsia="Times New Roman"/>
          <w:sz w:val="16"/>
          <w:szCs w:val="16"/>
        </w:rPr>
        <w:t xml:space="preserve">elaciones </w:t>
      </w:r>
      <w:r w:rsidR="000F5B5A">
        <w:rPr>
          <w:rFonts w:eastAsia="Times New Roman"/>
          <w:sz w:val="16"/>
          <w:szCs w:val="16"/>
        </w:rPr>
        <w:t>L</w:t>
      </w:r>
      <w:r w:rsidR="000F5B5A" w:rsidRPr="00B57FAC">
        <w:rPr>
          <w:rFonts w:eastAsia="Times New Roman"/>
          <w:sz w:val="16"/>
          <w:szCs w:val="16"/>
        </w:rPr>
        <w:t>aborales</w:t>
      </w:r>
      <w:r w:rsidR="000F5B5A">
        <w:rPr>
          <w:rFonts w:eastAsia="Times New Roman"/>
          <w:sz w:val="16"/>
          <w:szCs w:val="16"/>
        </w:rPr>
        <w:t xml:space="preserve"> </w:t>
      </w:r>
    </w:p>
    <w:p w14:paraId="6F49D233" w14:textId="4E92FC6A" w:rsidR="000F5B5A" w:rsidRDefault="00E93AA4" w:rsidP="00E93AA4">
      <w:pPr>
        <w:pStyle w:val="Textoindependiente"/>
        <w:kinsoku w:val="0"/>
        <w:overflowPunct w:val="0"/>
        <w:ind w:left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</w:t>
      </w:r>
      <w:r w:rsidR="00885E2B">
        <w:rPr>
          <w:rFonts w:eastAsia="Times New Roman"/>
          <w:sz w:val="16"/>
          <w:szCs w:val="16"/>
        </w:rPr>
        <w:t xml:space="preserve">         </w:t>
      </w:r>
      <w:r w:rsidR="000F5B5A">
        <w:rPr>
          <w:rFonts w:eastAsia="Times New Roman"/>
          <w:sz w:val="16"/>
          <w:szCs w:val="16"/>
        </w:rPr>
        <w:t xml:space="preserve">de Jurisdicción Local </w:t>
      </w:r>
      <w:r w:rsidR="00E67DB3">
        <w:rPr>
          <w:rFonts w:eastAsia="Times New Roman"/>
          <w:sz w:val="16"/>
          <w:szCs w:val="16"/>
        </w:rPr>
        <w:t xml:space="preserve">(ERLAJUL), </w:t>
      </w:r>
      <w:r w:rsidR="000F5B5A">
        <w:rPr>
          <w:rFonts w:eastAsia="Times New Roman"/>
          <w:sz w:val="16"/>
          <w:szCs w:val="16"/>
        </w:rPr>
        <w:t>2022</w:t>
      </w:r>
    </w:p>
    <w:p w14:paraId="1981BE12" w14:textId="1F1DDC51" w:rsidR="001B7C9A" w:rsidRDefault="00931F0A" w:rsidP="001D3FF0">
      <w:pPr>
        <w:pStyle w:val="Textoindependiente"/>
        <w:kinsoku w:val="0"/>
        <w:overflowPunct w:val="0"/>
        <w:ind w:left="0" w:right="-66"/>
        <w:jc w:val="both"/>
      </w:pPr>
      <w:r>
        <w:lastRenderedPageBreak/>
        <w:t xml:space="preserve">De los conflictos colectivos de trabajo, </w:t>
      </w:r>
      <w:r w:rsidR="007B2834">
        <w:t>62.7</w:t>
      </w:r>
      <w:r w:rsidR="007C6E44">
        <w:t xml:space="preserve"> </w:t>
      </w:r>
      <w:r w:rsidR="00644151">
        <w:t>% tuv</w:t>
      </w:r>
      <w:r w:rsidR="001B7C9A">
        <w:t>o</w:t>
      </w:r>
      <w:r w:rsidR="00644151">
        <w:t xml:space="preserve"> como principal demanda la disputa por la </w:t>
      </w:r>
      <w:r w:rsidR="00644151" w:rsidRPr="00F95A40">
        <w:rPr>
          <w:i/>
          <w:iCs/>
        </w:rPr>
        <w:t>titularidad del contrato colectivo</w:t>
      </w:r>
      <w:r w:rsidR="00B5601A">
        <w:t>. E</w:t>
      </w:r>
      <w:r w:rsidR="00100585">
        <w:t>n 2021, esta</w:t>
      </w:r>
      <w:r w:rsidR="00B5601A">
        <w:t xml:space="preserve"> </w:t>
      </w:r>
      <w:r w:rsidR="00644151">
        <w:t>tendencia</w:t>
      </w:r>
      <w:r w:rsidR="00100585">
        <w:t xml:space="preserve"> fue de</w:t>
      </w:r>
      <w:r w:rsidR="00644151">
        <w:t xml:space="preserve"> </w:t>
      </w:r>
      <w:r w:rsidR="007B2834">
        <w:t>31.2</w:t>
      </w:r>
      <w:r w:rsidR="00644151">
        <w:t xml:space="preserve"> por ciento.</w:t>
      </w:r>
    </w:p>
    <w:p w14:paraId="28C0443A" w14:textId="77777777" w:rsidR="00100585" w:rsidRDefault="00100585" w:rsidP="00F95A40">
      <w:pPr>
        <w:pStyle w:val="Textoindependiente"/>
        <w:kinsoku w:val="0"/>
        <w:overflowPunct w:val="0"/>
        <w:ind w:left="0" w:right="-208"/>
        <w:jc w:val="both"/>
      </w:pPr>
    </w:p>
    <w:p w14:paraId="323F3BDA" w14:textId="031C3F85" w:rsidR="001B7C9A" w:rsidRPr="00084797" w:rsidRDefault="001B7C9A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>
        <w:rPr>
          <w:sz w:val="20"/>
          <w:szCs w:val="20"/>
        </w:rPr>
        <w:t>1</w:t>
      </w:r>
      <w:r w:rsidR="00417A5C">
        <w:rPr>
          <w:sz w:val="20"/>
          <w:szCs w:val="20"/>
        </w:rPr>
        <w:t>4</w:t>
      </w:r>
    </w:p>
    <w:p w14:paraId="721FE532" w14:textId="7E9A0D1F" w:rsidR="00644151" w:rsidRPr="00D614AB" w:rsidRDefault="00644151" w:rsidP="009C3ECE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0"/>
          <w:szCs w:val="20"/>
        </w:rPr>
      </w:pPr>
      <w:r>
        <w:rPr>
          <w:b/>
          <w:smallCaps/>
          <w:sz w:val="22"/>
          <w:szCs w:val="22"/>
        </w:rPr>
        <w:t>Motivos que originaron los conflictos colectivos de trabajo</w:t>
      </w:r>
    </w:p>
    <w:p w14:paraId="0596933E" w14:textId="447C8B2A" w:rsidR="009F4B84" w:rsidRDefault="003B315E" w:rsidP="009C3ECE">
      <w:pPr>
        <w:pStyle w:val="Textoindependiente"/>
        <w:keepNext/>
        <w:kinsoku w:val="0"/>
        <w:overflowPunct w:val="0"/>
        <w:ind w:left="0"/>
        <w:jc w:val="center"/>
        <w:rPr>
          <w:bCs/>
          <w:smallCaps/>
          <w:sz w:val="18"/>
          <w:szCs w:val="18"/>
        </w:rPr>
      </w:pPr>
      <w:r>
        <w:rPr>
          <w:bCs/>
          <w:smallCaps/>
          <w:sz w:val="18"/>
          <w:szCs w:val="18"/>
        </w:rPr>
        <w:t>(</w:t>
      </w:r>
      <w:r w:rsidR="009F4B84" w:rsidRPr="009F4B84">
        <w:rPr>
          <w:bCs/>
          <w:smallCaps/>
          <w:sz w:val="18"/>
          <w:szCs w:val="18"/>
        </w:rPr>
        <w:t>2022</w:t>
      </w:r>
      <w:r>
        <w:rPr>
          <w:bCs/>
          <w:smallCaps/>
          <w:sz w:val="18"/>
          <w:szCs w:val="18"/>
        </w:rPr>
        <w:t>)</w:t>
      </w:r>
    </w:p>
    <w:p w14:paraId="1B531B18" w14:textId="7EEB05C9" w:rsidR="00F92755" w:rsidRDefault="00F92755" w:rsidP="009C3ECE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F92755">
        <w:rPr>
          <w:b/>
          <w:smallCaps/>
          <w:noProof/>
          <w:sz w:val="22"/>
          <w:szCs w:val="22"/>
        </w:rPr>
        <w:drawing>
          <wp:inline distT="0" distB="0" distL="0" distR="0" wp14:anchorId="1949E210" wp14:editId="2AC19937">
            <wp:extent cx="2768151" cy="2613546"/>
            <wp:effectExtent l="0" t="0" r="0" b="0"/>
            <wp:docPr id="608307295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07295" name="Imagen 1" descr="Gráfico, Gráfico circular&#10;&#10;Descripción generada automá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95176" cy="263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E6C7F" w14:textId="679D30EA" w:rsidR="00885E2B" w:rsidRDefault="00885E2B" w:rsidP="004D7A49">
      <w:pPr>
        <w:pStyle w:val="Textoindependiente"/>
        <w:kinsoku w:val="0"/>
        <w:overflowPunct w:val="0"/>
        <w:ind w:left="2552" w:right="2202" w:hanging="142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0A204D" w:rsidRPr="00100AAB">
        <w:rPr>
          <w:sz w:val="16"/>
          <w:szCs w:val="16"/>
        </w:rPr>
        <w:t>N</w:t>
      </w:r>
      <w:r w:rsidR="00AA0260">
        <w:rPr>
          <w:sz w:val="16"/>
          <w:szCs w:val="16"/>
        </w:rPr>
        <w:t>ota</w:t>
      </w:r>
      <w:r w:rsidR="000A204D" w:rsidRPr="00100AAB">
        <w:rPr>
          <w:sz w:val="16"/>
          <w:szCs w:val="16"/>
        </w:rPr>
        <w:t>:</w:t>
      </w:r>
      <w:r>
        <w:rPr>
          <w:sz w:val="16"/>
          <w:szCs w:val="16"/>
        </w:rPr>
        <w:t xml:space="preserve">    </w:t>
      </w:r>
      <w:r w:rsidR="00100585">
        <w:rPr>
          <w:sz w:val="16"/>
          <w:szCs w:val="16"/>
        </w:rPr>
        <w:t>«</w:t>
      </w:r>
      <w:r w:rsidR="00B32B4E">
        <w:rPr>
          <w:sz w:val="16"/>
          <w:szCs w:val="16"/>
        </w:rPr>
        <w:t>Otros</w:t>
      </w:r>
      <w:r w:rsidR="00100585">
        <w:rPr>
          <w:sz w:val="16"/>
          <w:szCs w:val="16"/>
        </w:rPr>
        <w:t>»</w:t>
      </w:r>
      <w:r w:rsidR="00B32B4E">
        <w:rPr>
          <w:sz w:val="16"/>
          <w:szCs w:val="16"/>
        </w:rPr>
        <w:t xml:space="preserve"> i</w:t>
      </w:r>
      <w:r w:rsidR="000A204D" w:rsidRPr="00100AAB">
        <w:rPr>
          <w:sz w:val="16"/>
          <w:szCs w:val="16"/>
        </w:rPr>
        <w:t>ncluye</w:t>
      </w:r>
      <w:r w:rsidR="00100585">
        <w:rPr>
          <w:sz w:val="16"/>
          <w:szCs w:val="16"/>
        </w:rPr>
        <w:t>:</w:t>
      </w:r>
      <w:r w:rsidR="000A204D" w:rsidRPr="00100AAB">
        <w:rPr>
          <w:sz w:val="16"/>
          <w:szCs w:val="16"/>
        </w:rPr>
        <w:t xml:space="preserve"> </w:t>
      </w:r>
      <w:r w:rsidR="00B32B4E">
        <w:rPr>
          <w:sz w:val="16"/>
          <w:szCs w:val="16"/>
        </w:rPr>
        <w:t xml:space="preserve">suspensión de relaciones laborales, </w:t>
      </w:r>
    </w:p>
    <w:p w14:paraId="44A110C8" w14:textId="1FB01963" w:rsidR="000A204D" w:rsidRPr="002B0270" w:rsidRDefault="00885E2B" w:rsidP="00885E2B">
      <w:pPr>
        <w:pStyle w:val="Textoindependiente"/>
        <w:kinsoku w:val="0"/>
        <w:overflowPunct w:val="0"/>
        <w:ind w:left="2552" w:right="2202"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B32B4E">
        <w:rPr>
          <w:sz w:val="16"/>
          <w:szCs w:val="16"/>
        </w:rPr>
        <w:t>pago de</w:t>
      </w:r>
      <w:r w:rsidR="004D7A49">
        <w:rPr>
          <w:sz w:val="16"/>
          <w:szCs w:val="16"/>
        </w:rPr>
        <w:t xml:space="preserve"> </w:t>
      </w:r>
      <w:r w:rsidR="00B32B4E">
        <w:rPr>
          <w:sz w:val="16"/>
          <w:szCs w:val="16"/>
        </w:rPr>
        <w:t xml:space="preserve">cuota sindical y </w:t>
      </w:r>
      <w:r w:rsidR="000A204D" w:rsidRPr="00100AAB">
        <w:rPr>
          <w:sz w:val="16"/>
          <w:szCs w:val="16"/>
        </w:rPr>
        <w:t xml:space="preserve">no </w:t>
      </w:r>
      <w:r w:rsidR="000A204D" w:rsidRPr="002B0270">
        <w:rPr>
          <w:sz w:val="16"/>
          <w:szCs w:val="16"/>
        </w:rPr>
        <w:t>especificad</w:t>
      </w:r>
      <w:r w:rsidR="00B32B4E" w:rsidRPr="002B0270">
        <w:rPr>
          <w:sz w:val="16"/>
          <w:szCs w:val="16"/>
        </w:rPr>
        <w:t>o</w:t>
      </w:r>
      <w:r w:rsidR="000A204D" w:rsidRPr="002B0270">
        <w:rPr>
          <w:sz w:val="16"/>
          <w:szCs w:val="16"/>
        </w:rPr>
        <w:t>.</w:t>
      </w:r>
    </w:p>
    <w:p w14:paraId="14E0E47C" w14:textId="64B18872" w:rsidR="000F5B5A" w:rsidRPr="00B57FAC" w:rsidRDefault="00885E2B" w:rsidP="00885E2B">
      <w:pPr>
        <w:kinsoku w:val="0"/>
        <w:overflowPunct w:val="0"/>
        <w:spacing w:after="240"/>
        <w:ind w:left="3402" w:right="2202" w:hanging="99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</w:t>
      </w:r>
      <w:r w:rsidR="000F5B5A"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0F5B5A">
        <w:rPr>
          <w:rFonts w:ascii="Arial" w:eastAsia="Times New Roman" w:hAnsi="Arial" w:cs="Arial"/>
          <w:sz w:val="16"/>
          <w:szCs w:val="16"/>
        </w:rPr>
        <w:t xml:space="preserve">INEGI. 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 w:rsidR="000F5B5A">
        <w:rPr>
          <w:rFonts w:ascii="Arial" w:eastAsia="Times New Roman" w:hAnsi="Arial" w:cs="Arial"/>
          <w:sz w:val="16"/>
          <w:szCs w:val="16"/>
        </w:rPr>
        <w:t>R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 w:rsidR="000F5B5A">
        <w:rPr>
          <w:rFonts w:ascii="Arial" w:eastAsia="Times New Roman" w:hAnsi="Arial" w:cs="Arial"/>
          <w:sz w:val="16"/>
          <w:szCs w:val="16"/>
        </w:rPr>
        <w:t>L</w:t>
      </w:r>
      <w:r w:rsidR="000F5B5A" w:rsidRPr="00B57FAC">
        <w:rPr>
          <w:rFonts w:ascii="Arial" w:eastAsia="Times New Roman" w:hAnsi="Arial" w:cs="Arial"/>
          <w:sz w:val="16"/>
          <w:szCs w:val="16"/>
        </w:rPr>
        <w:t>aborales</w:t>
      </w:r>
      <w:r w:rsidR="000F5B5A">
        <w:rPr>
          <w:rFonts w:ascii="Arial" w:eastAsia="Times New Roman" w:hAnsi="Arial" w:cs="Arial"/>
          <w:sz w:val="16"/>
          <w:szCs w:val="16"/>
        </w:rPr>
        <w:t xml:space="preserve"> de </w:t>
      </w:r>
      <w:r>
        <w:rPr>
          <w:rFonts w:ascii="Arial" w:eastAsia="Times New Roman" w:hAnsi="Arial" w:cs="Arial"/>
          <w:sz w:val="16"/>
          <w:szCs w:val="16"/>
        </w:rPr>
        <w:t xml:space="preserve">   </w:t>
      </w:r>
      <w:r w:rsidR="000F5B5A">
        <w:rPr>
          <w:rFonts w:ascii="Arial" w:eastAsia="Times New Roman" w:hAnsi="Arial" w:cs="Arial"/>
          <w:sz w:val="16"/>
          <w:szCs w:val="16"/>
        </w:rPr>
        <w:t>Jurisdicció</w:t>
      </w:r>
      <w:r w:rsidR="004D7A49">
        <w:rPr>
          <w:rFonts w:ascii="Arial" w:eastAsia="Times New Roman" w:hAnsi="Arial" w:cs="Arial"/>
          <w:sz w:val="16"/>
          <w:szCs w:val="16"/>
        </w:rPr>
        <w:t>n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0F5B5A">
        <w:rPr>
          <w:rFonts w:ascii="Arial" w:eastAsia="Times New Roman" w:hAnsi="Arial" w:cs="Arial"/>
          <w:sz w:val="16"/>
          <w:szCs w:val="16"/>
        </w:rPr>
        <w:t xml:space="preserve">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 w:rsidR="000F5B5A">
        <w:rPr>
          <w:rFonts w:ascii="Arial" w:eastAsia="Times New Roman" w:hAnsi="Arial" w:cs="Arial"/>
          <w:sz w:val="16"/>
          <w:szCs w:val="16"/>
        </w:rPr>
        <w:t>2022</w:t>
      </w:r>
    </w:p>
    <w:p w14:paraId="07907F4F" w14:textId="2D428EAD" w:rsidR="00644151" w:rsidRPr="00D06E85" w:rsidRDefault="00644151" w:rsidP="00100585">
      <w:pPr>
        <w:widowControl/>
        <w:autoSpaceDE/>
        <w:autoSpaceDN/>
        <w:adjustRightInd/>
        <w:spacing w:line="259" w:lineRule="auto"/>
        <w:ind w:firstLine="720"/>
        <w:rPr>
          <w:rFonts w:ascii="Arial Negrita" w:hAnsi="Arial Negrita"/>
          <w:b/>
        </w:rPr>
      </w:pPr>
      <w:r w:rsidRPr="00F95A40">
        <w:rPr>
          <w:rFonts w:ascii="Arial Negrita" w:hAnsi="Arial Negrita"/>
          <w:b/>
        </w:rPr>
        <w:t xml:space="preserve"> Soluci</w:t>
      </w:r>
      <w:r w:rsidRPr="00F95A40">
        <w:rPr>
          <w:rFonts w:ascii="Arial Negrita" w:hAnsi="Arial Negrita" w:hint="eastAsia"/>
          <w:b/>
        </w:rPr>
        <w:t>ó</w:t>
      </w:r>
      <w:r w:rsidRPr="00F95A40">
        <w:rPr>
          <w:rFonts w:ascii="Arial Negrita" w:hAnsi="Arial Negrita"/>
          <w:b/>
        </w:rPr>
        <w:t>n a los conflictos de trabajo</w:t>
      </w:r>
    </w:p>
    <w:p w14:paraId="5C7E9838" w14:textId="77777777" w:rsidR="00100585" w:rsidRPr="00F95A40" w:rsidRDefault="00100585" w:rsidP="00F95A40">
      <w:pPr>
        <w:widowControl/>
        <w:autoSpaceDE/>
        <w:autoSpaceDN/>
        <w:adjustRightInd/>
        <w:spacing w:line="259" w:lineRule="auto"/>
        <w:ind w:firstLine="720"/>
        <w:rPr>
          <w:rFonts w:ascii="Arial Negrita" w:hAnsi="Arial Negrita"/>
          <w:b/>
        </w:rPr>
      </w:pPr>
    </w:p>
    <w:p w14:paraId="1EE980D7" w14:textId="05643806" w:rsidR="00B437BD" w:rsidRDefault="00644151" w:rsidP="001D3FF0">
      <w:pPr>
        <w:pStyle w:val="Textoindependiente"/>
        <w:kinsoku w:val="0"/>
        <w:overflowPunct w:val="0"/>
        <w:ind w:left="0" w:right="-66"/>
        <w:jc w:val="both"/>
      </w:pPr>
      <w:r>
        <w:t>Los conflictos de tr</w:t>
      </w:r>
      <w:r w:rsidR="007C126D">
        <w:t>abajo solucionados</w:t>
      </w:r>
      <w:r w:rsidR="00B5601A">
        <w:t xml:space="preserve"> pasaron de </w:t>
      </w:r>
      <w:r w:rsidR="002F221D">
        <w:t>113</w:t>
      </w:r>
      <w:r w:rsidR="00B5601A">
        <w:t> </w:t>
      </w:r>
      <w:r w:rsidR="004B6FEF">
        <w:t>23</w:t>
      </w:r>
      <w:r w:rsidR="002F221D">
        <w:t>9</w:t>
      </w:r>
      <w:r w:rsidR="00B5601A">
        <w:t xml:space="preserve"> a 1</w:t>
      </w:r>
      <w:r w:rsidR="002F221D">
        <w:t>38</w:t>
      </w:r>
      <w:r w:rsidR="00B5601A">
        <w:t> </w:t>
      </w:r>
      <w:r w:rsidR="002F221D">
        <w:t>774</w:t>
      </w:r>
      <w:r w:rsidR="00B5601A">
        <w:t>, lo que signific</w:t>
      </w:r>
      <w:r w:rsidR="006B597A">
        <w:t>ó</w:t>
      </w:r>
      <w:r w:rsidR="00B5601A">
        <w:t xml:space="preserve"> un incremento de </w:t>
      </w:r>
      <w:r w:rsidR="002F221D">
        <w:t>22.</w:t>
      </w:r>
      <w:r w:rsidR="00D00066">
        <w:t>5 </w:t>
      </w:r>
      <w:r w:rsidR="007C126D">
        <w:t>%</w:t>
      </w:r>
      <w:r w:rsidR="00100585">
        <w:t>,</w:t>
      </w:r>
      <w:r w:rsidR="007C126D">
        <w:t xml:space="preserve"> con respecto a 202</w:t>
      </w:r>
      <w:r w:rsidR="003B315E">
        <w:t>1</w:t>
      </w:r>
      <w:r w:rsidR="00B5601A">
        <w:t>.</w:t>
      </w:r>
      <w:r w:rsidR="00B437BD" w:rsidRPr="00B437BD">
        <w:rPr>
          <w:rStyle w:val="ui-provider"/>
        </w:rPr>
        <w:t xml:space="preserve"> </w:t>
      </w:r>
      <w:r w:rsidR="00B437BD">
        <w:rPr>
          <w:rStyle w:val="ui-provider"/>
        </w:rPr>
        <w:t>El porcentaje de conflictos de trabajo que se solucionó por convenio fue de 40.4 por ciento. Esta situación también se registró en 2021, con 44.8 por ciento.</w:t>
      </w:r>
    </w:p>
    <w:p w14:paraId="66CC12FD" w14:textId="77777777" w:rsidR="00100585" w:rsidRDefault="00100585" w:rsidP="00F95A40">
      <w:pPr>
        <w:pStyle w:val="Textoindependiente"/>
        <w:kinsoku w:val="0"/>
        <w:overflowPunct w:val="0"/>
        <w:ind w:left="0" w:right="-208"/>
        <w:jc w:val="both"/>
      </w:pPr>
    </w:p>
    <w:p w14:paraId="69D3B891" w14:textId="645FE513" w:rsidR="001B7C9A" w:rsidRPr="00084797" w:rsidRDefault="001B7C9A" w:rsidP="00ED2CF5">
      <w:pPr>
        <w:pStyle w:val="Textoindependiente"/>
        <w:keepNext/>
        <w:keepLines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>
        <w:rPr>
          <w:sz w:val="20"/>
          <w:szCs w:val="20"/>
        </w:rPr>
        <w:t>1</w:t>
      </w:r>
      <w:r w:rsidR="00417A5C">
        <w:rPr>
          <w:sz w:val="20"/>
          <w:szCs w:val="20"/>
        </w:rPr>
        <w:t>5</w:t>
      </w:r>
    </w:p>
    <w:p w14:paraId="4595627C" w14:textId="0516E437" w:rsidR="00644151" w:rsidRPr="002B0270" w:rsidRDefault="00644151" w:rsidP="00ED2CF5">
      <w:pPr>
        <w:pStyle w:val="Textoindependiente"/>
        <w:keepNext/>
        <w:keepLines/>
        <w:kinsoku w:val="0"/>
        <w:overflowPunct w:val="0"/>
        <w:ind w:left="0"/>
        <w:jc w:val="center"/>
        <w:rPr>
          <w:b/>
          <w:bCs/>
          <w:sz w:val="20"/>
          <w:szCs w:val="20"/>
        </w:rPr>
      </w:pPr>
      <w:r>
        <w:rPr>
          <w:b/>
          <w:smallCaps/>
          <w:sz w:val="22"/>
          <w:szCs w:val="22"/>
        </w:rPr>
        <w:t xml:space="preserve">Forma de solución de los conflictos de </w:t>
      </w:r>
      <w:r w:rsidRPr="002B0270">
        <w:rPr>
          <w:b/>
          <w:smallCaps/>
          <w:sz w:val="22"/>
          <w:szCs w:val="22"/>
        </w:rPr>
        <w:t>trabajo</w:t>
      </w:r>
    </w:p>
    <w:p w14:paraId="43B3FC23" w14:textId="16E76E78" w:rsidR="009F4B84" w:rsidRDefault="009F4B84" w:rsidP="00ED2CF5">
      <w:pPr>
        <w:pStyle w:val="Textoindependiente"/>
        <w:keepNext/>
        <w:keepLines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3ED78A13" w14:textId="5026B507" w:rsidR="00F92755" w:rsidRPr="00F95A40" w:rsidRDefault="00F92755" w:rsidP="00100585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2"/>
        </w:rPr>
      </w:pPr>
      <w:r w:rsidRPr="00F92755">
        <w:rPr>
          <w:b/>
          <w:noProof/>
          <w:sz w:val="20"/>
          <w:szCs w:val="22"/>
        </w:rPr>
        <w:drawing>
          <wp:inline distT="0" distB="0" distL="0" distR="0" wp14:anchorId="77FBBFCE" wp14:editId="0C8A095F">
            <wp:extent cx="4315704" cy="2149522"/>
            <wp:effectExtent l="0" t="0" r="8890" b="3175"/>
            <wp:docPr id="701915025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15025" name="Imagen 1" descr="Gráfico, Gráfico de barras&#10;&#10;Descripción generada automá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44776" cy="216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29DBB" w14:textId="7D1824E9" w:rsidR="000F5B5A" w:rsidRPr="00B57FAC" w:rsidRDefault="00885E2B" w:rsidP="00885E2B">
      <w:pPr>
        <w:kinsoku w:val="0"/>
        <w:overflowPunct w:val="0"/>
        <w:spacing w:after="240"/>
        <w:ind w:left="709" w:right="1351" w:firstLine="14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</w:t>
      </w:r>
      <w:r w:rsidR="000F5B5A" w:rsidRPr="00B57FAC">
        <w:rPr>
          <w:rFonts w:ascii="Arial" w:eastAsia="Times New Roman" w:hAnsi="Arial" w:cs="Arial"/>
          <w:sz w:val="16"/>
          <w:szCs w:val="16"/>
        </w:rPr>
        <w:t>Fuente:</w:t>
      </w:r>
      <w:r w:rsidR="000F5B5A"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 w:rsidR="000F5B5A">
        <w:rPr>
          <w:rFonts w:ascii="Arial" w:eastAsia="Times New Roman" w:hAnsi="Arial" w:cs="Arial"/>
          <w:sz w:val="16"/>
          <w:szCs w:val="16"/>
        </w:rPr>
        <w:t>R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 w:rsidR="000F5B5A">
        <w:rPr>
          <w:rFonts w:ascii="Arial" w:eastAsia="Times New Roman" w:hAnsi="Arial" w:cs="Arial"/>
          <w:sz w:val="16"/>
          <w:szCs w:val="16"/>
        </w:rPr>
        <w:t>L</w:t>
      </w:r>
      <w:r w:rsidR="000F5B5A" w:rsidRPr="00B57FAC">
        <w:rPr>
          <w:rFonts w:ascii="Arial" w:eastAsia="Times New Roman" w:hAnsi="Arial" w:cs="Arial"/>
          <w:sz w:val="16"/>
          <w:szCs w:val="16"/>
        </w:rPr>
        <w:t>aborales</w:t>
      </w:r>
      <w:r w:rsidR="000F5B5A"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 w:rsidR="000F5B5A">
        <w:rPr>
          <w:rFonts w:ascii="Arial" w:eastAsia="Times New Roman" w:hAnsi="Arial" w:cs="Arial"/>
          <w:sz w:val="16"/>
          <w:szCs w:val="16"/>
        </w:rPr>
        <w:t>2022</w:t>
      </w:r>
    </w:p>
    <w:p w14:paraId="7ADB4564" w14:textId="1CC2ADD7" w:rsidR="00644151" w:rsidRDefault="00644151" w:rsidP="00F95A40">
      <w:pPr>
        <w:pStyle w:val="Textoindependiente"/>
        <w:kinsoku w:val="0"/>
        <w:overflowPunct w:val="0"/>
        <w:spacing w:after="120"/>
        <w:ind w:left="0" w:right="-66"/>
        <w:jc w:val="both"/>
      </w:pPr>
      <w:r>
        <w:lastRenderedPageBreak/>
        <w:t xml:space="preserve">A nivel nacional, </w:t>
      </w:r>
      <w:r w:rsidR="00F95749">
        <w:t>tres</w:t>
      </w:r>
      <w:r>
        <w:t xml:space="preserve"> trabajadores </w:t>
      </w:r>
      <w:r w:rsidR="00B968BE">
        <w:t xml:space="preserve">o trabajadoras </w:t>
      </w:r>
      <w:r>
        <w:t xml:space="preserve">por cada </w:t>
      </w:r>
      <w:r w:rsidR="00B5601A">
        <w:t>mil</w:t>
      </w:r>
      <w:r>
        <w:t xml:space="preserve"> personas </w:t>
      </w:r>
      <w:r w:rsidR="00884266">
        <w:t>ocupadas</w:t>
      </w:r>
      <w:r w:rsidR="001F61D4">
        <w:t xml:space="preserve"> </w:t>
      </w:r>
      <w:r>
        <w:t xml:space="preserve">lograron </w:t>
      </w:r>
      <w:r w:rsidR="00990D82">
        <w:t xml:space="preserve">solucionar o llegar a un acuerdo </w:t>
      </w:r>
      <w:r w:rsidR="00EF390B">
        <w:t>en</w:t>
      </w:r>
      <w:r w:rsidR="00990D82">
        <w:t xml:space="preserve"> </w:t>
      </w:r>
      <w:r>
        <w:t>sus demandas de conflictos de trabajo (individuales y colectivos). Por entidad federativa</w:t>
      </w:r>
      <w:r w:rsidR="00100585">
        <w:t>,</w:t>
      </w:r>
      <w:r>
        <w:t xml:space="preserve"> sobresal</w:t>
      </w:r>
      <w:r w:rsidR="001B7C9A">
        <w:t>iero</w:t>
      </w:r>
      <w:r>
        <w:t>n Querétaro</w:t>
      </w:r>
      <w:r w:rsidR="007266BE">
        <w:t>,</w:t>
      </w:r>
      <w:r w:rsidR="002F221D">
        <w:t xml:space="preserve"> </w:t>
      </w:r>
      <w:r>
        <w:t>con</w:t>
      </w:r>
      <w:r w:rsidR="00EC58D3">
        <w:t xml:space="preserve"> una tasa de</w:t>
      </w:r>
      <w:r>
        <w:t xml:space="preserve"> </w:t>
      </w:r>
      <w:r w:rsidR="002F221D">
        <w:t xml:space="preserve">21 </w:t>
      </w:r>
      <w:r w:rsidR="00CC0B56">
        <w:t>t</w:t>
      </w:r>
      <w:r>
        <w:t>rabajadores</w:t>
      </w:r>
      <w:r w:rsidR="00B968BE">
        <w:t xml:space="preserve"> o trabajadoras</w:t>
      </w:r>
      <w:r w:rsidR="00B5601A">
        <w:t>;</w:t>
      </w:r>
      <w:r>
        <w:t xml:space="preserve"> </w:t>
      </w:r>
      <w:r w:rsidR="002F221D">
        <w:t>Nuevo León</w:t>
      </w:r>
      <w:r w:rsidR="00B42ACD">
        <w:t xml:space="preserve"> y Ciudad de México</w:t>
      </w:r>
      <w:r w:rsidR="007828FD">
        <w:t>,</w:t>
      </w:r>
      <w:r w:rsidR="002F221D">
        <w:t xml:space="preserve"> con siete</w:t>
      </w:r>
      <w:r w:rsidR="007673FB">
        <w:t>;</w:t>
      </w:r>
      <w:r>
        <w:t xml:space="preserve"> </w:t>
      </w:r>
      <w:r w:rsidR="002F221D">
        <w:t>C</w:t>
      </w:r>
      <w:r w:rsidR="0046696E">
        <w:t>oahuila de Zaragoza</w:t>
      </w:r>
      <w:r w:rsidR="00B25366">
        <w:t>,</w:t>
      </w:r>
      <w:r w:rsidR="0046696E">
        <w:t xml:space="preserve"> con seis</w:t>
      </w:r>
      <w:r w:rsidR="007266BE">
        <w:t xml:space="preserve"> y </w:t>
      </w:r>
      <w:r w:rsidR="002F221D">
        <w:t>Aguascalientes y Chihuahua</w:t>
      </w:r>
      <w:r w:rsidR="007266BE">
        <w:t>,</w:t>
      </w:r>
      <w:r w:rsidR="002F221D">
        <w:t xml:space="preserve"> con cinco</w:t>
      </w:r>
      <w:r w:rsidR="00100585">
        <w:t xml:space="preserve"> cada un</w:t>
      </w:r>
      <w:r w:rsidR="00392697">
        <w:t>a</w:t>
      </w:r>
      <w:r w:rsidR="007266BE">
        <w:t>.</w:t>
      </w:r>
      <w:r>
        <w:t xml:space="preserve"> </w:t>
      </w:r>
    </w:p>
    <w:p w14:paraId="2A8CDCE8" w14:textId="77777777" w:rsidR="00C33BDE" w:rsidRDefault="00C33BDE" w:rsidP="00B1622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</w:p>
    <w:p w14:paraId="15B3F1F8" w14:textId="13EC9CFB" w:rsidR="00C7408C" w:rsidRPr="00084797" w:rsidRDefault="00C7408C" w:rsidP="00B1622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>
        <w:rPr>
          <w:sz w:val="20"/>
          <w:szCs w:val="20"/>
        </w:rPr>
        <w:t>1</w:t>
      </w:r>
      <w:r w:rsidR="00417A5C">
        <w:rPr>
          <w:sz w:val="20"/>
          <w:szCs w:val="20"/>
        </w:rPr>
        <w:t>6</w:t>
      </w:r>
    </w:p>
    <w:p w14:paraId="635C94B3" w14:textId="77777777" w:rsidR="00B968BE" w:rsidRDefault="00237A01" w:rsidP="002B0270">
      <w:pPr>
        <w:pStyle w:val="Textoindependiente"/>
        <w:kinsoku w:val="0"/>
        <w:overflowPunct w:val="0"/>
        <w:ind w:left="0"/>
        <w:jc w:val="center"/>
        <w:rPr>
          <w:rFonts w:ascii="Arial Negrita" w:hAnsi="Arial Negrita"/>
          <w:b/>
          <w:smallCaps/>
          <w:sz w:val="22"/>
          <w:szCs w:val="22"/>
        </w:rPr>
      </w:pPr>
      <w:r>
        <w:rPr>
          <w:rFonts w:ascii="Arial Negrita" w:hAnsi="Arial Negrita"/>
          <w:b/>
          <w:smallCaps/>
          <w:sz w:val="22"/>
          <w:szCs w:val="22"/>
        </w:rPr>
        <w:t>Tasa de</w:t>
      </w:r>
      <w:r w:rsidR="00B968BE">
        <w:rPr>
          <w:rFonts w:ascii="Arial Negrita" w:hAnsi="Arial Negrita"/>
          <w:b/>
          <w:smallCaps/>
          <w:sz w:val="22"/>
          <w:szCs w:val="22"/>
        </w:rPr>
        <w:t xml:space="preserve"> las y los</w:t>
      </w:r>
      <w:r>
        <w:rPr>
          <w:rFonts w:ascii="Arial Negrita" w:hAnsi="Arial Negrita"/>
          <w:b/>
          <w:smallCaps/>
          <w:sz w:val="22"/>
          <w:szCs w:val="22"/>
        </w:rPr>
        <w:t xml:space="preserve"> trabajadores que solucionaron c</w:t>
      </w:r>
      <w:r w:rsidRPr="00774F63">
        <w:rPr>
          <w:rFonts w:ascii="Arial Negrita" w:hAnsi="Arial Negrita"/>
          <w:b/>
          <w:smallCaps/>
          <w:sz w:val="22"/>
          <w:szCs w:val="22"/>
        </w:rPr>
        <w:t>o</w:t>
      </w:r>
      <w:r>
        <w:rPr>
          <w:rFonts w:ascii="Arial Negrita" w:hAnsi="Arial Negrita"/>
          <w:b/>
          <w:smallCaps/>
          <w:sz w:val="22"/>
          <w:szCs w:val="22"/>
        </w:rPr>
        <w:t>nflictos</w:t>
      </w:r>
      <w:r w:rsidRPr="00774F63">
        <w:rPr>
          <w:rFonts w:ascii="Arial Negrita" w:hAnsi="Arial Negrita"/>
          <w:b/>
          <w:smallCaps/>
          <w:sz w:val="22"/>
          <w:szCs w:val="22"/>
        </w:rPr>
        <w:t xml:space="preserve"> </w:t>
      </w:r>
      <w:r>
        <w:rPr>
          <w:rFonts w:ascii="Arial Negrita" w:hAnsi="Arial Negrita"/>
          <w:b/>
          <w:smallCaps/>
          <w:sz w:val="22"/>
          <w:szCs w:val="22"/>
        </w:rPr>
        <w:t>de</w:t>
      </w:r>
      <w:r w:rsidRPr="00774F63">
        <w:rPr>
          <w:rFonts w:ascii="Arial Negrita" w:hAnsi="Arial Negrita"/>
          <w:b/>
          <w:smallCaps/>
          <w:sz w:val="22"/>
          <w:szCs w:val="22"/>
        </w:rPr>
        <w:t xml:space="preserve"> trabajo </w:t>
      </w:r>
    </w:p>
    <w:p w14:paraId="635D2FED" w14:textId="16129EA3" w:rsidR="002B0270" w:rsidRPr="002B0270" w:rsidRDefault="00237A01" w:rsidP="002B0270">
      <w:pPr>
        <w:pStyle w:val="Textoindependiente"/>
        <w:kinsoku w:val="0"/>
        <w:overflowPunct w:val="0"/>
        <w:ind w:left="0"/>
        <w:jc w:val="center"/>
        <w:rPr>
          <w:b/>
          <w:bCs/>
          <w:sz w:val="20"/>
          <w:szCs w:val="20"/>
        </w:rPr>
      </w:pPr>
      <w:r w:rsidRPr="00774F63">
        <w:rPr>
          <w:rFonts w:ascii="Arial Negrita" w:hAnsi="Arial Negrita"/>
          <w:b/>
          <w:smallCaps/>
          <w:sz w:val="22"/>
          <w:szCs w:val="22"/>
        </w:rPr>
        <w:t xml:space="preserve">por </w:t>
      </w:r>
      <w:r>
        <w:rPr>
          <w:rFonts w:ascii="Arial Negrita" w:hAnsi="Arial Negrita"/>
          <w:b/>
          <w:smallCaps/>
          <w:sz w:val="22"/>
          <w:szCs w:val="22"/>
        </w:rPr>
        <w:t xml:space="preserve">cada mil personas </w:t>
      </w:r>
      <w:r w:rsidR="00884266">
        <w:rPr>
          <w:rFonts w:ascii="Arial Negrita" w:hAnsi="Arial Negrita"/>
          <w:b/>
          <w:smallCaps/>
          <w:sz w:val="22"/>
          <w:szCs w:val="22"/>
        </w:rPr>
        <w:t>ocupadas</w:t>
      </w:r>
      <w:r w:rsidR="001F61D4" w:rsidRPr="001F61D4">
        <w:rPr>
          <w:rFonts w:ascii="Arial Negrita" w:hAnsi="Arial Negrita"/>
          <w:b/>
          <w:smallCaps/>
          <w:sz w:val="22"/>
          <w:szCs w:val="22"/>
          <w:vertAlign w:val="superscript"/>
        </w:rPr>
        <w:t>1</w:t>
      </w:r>
      <w:r w:rsidR="00100585">
        <w:rPr>
          <w:rFonts w:ascii="Arial Negrita" w:hAnsi="Arial Negrita"/>
          <w:b/>
          <w:smallCaps/>
          <w:sz w:val="22"/>
          <w:szCs w:val="22"/>
          <w:vertAlign w:val="superscript"/>
        </w:rPr>
        <w:t>/</w:t>
      </w:r>
    </w:p>
    <w:p w14:paraId="09047476" w14:textId="3BDC6EB3" w:rsidR="002B0270" w:rsidRPr="00F95A40" w:rsidRDefault="002B0270" w:rsidP="002B0270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6ED746F5" w14:textId="3CF021DD" w:rsidR="001114A1" w:rsidRDefault="001114A1" w:rsidP="002B0270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1114A1">
        <w:rPr>
          <w:b/>
          <w:smallCaps/>
          <w:noProof/>
          <w:sz w:val="22"/>
          <w:szCs w:val="22"/>
        </w:rPr>
        <w:drawing>
          <wp:inline distT="0" distB="0" distL="0" distR="0" wp14:anchorId="634FEE4E" wp14:editId="5F88D15F">
            <wp:extent cx="6225305" cy="5759355"/>
            <wp:effectExtent l="0" t="0" r="4445" b="0"/>
            <wp:docPr id="86975464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5464" name="Imagen 1" descr="Gráfico&#10;&#10;Descripción generada automáticament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72539" cy="580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BD4D6" w14:textId="7393DAE9" w:rsidR="001F61D4" w:rsidRPr="005B349A" w:rsidRDefault="001F61D4" w:rsidP="00387A87">
      <w:pPr>
        <w:pStyle w:val="Textonotapie"/>
        <w:ind w:left="567" w:hanging="566"/>
        <w:jc w:val="both"/>
        <w:rPr>
          <w:rFonts w:ascii="Arial" w:hAnsi="Arial" w:cs="Arial"/>
          <w:sz w:val="16"/>
          <w:szCs w:val="16"/>
        </w:rPr>
      </w:pPr>
      <w:r w:rsidRPr="001F61D4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1</w:t>
      </w:r>
      <w:r w:rsidR="00100585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/</w:t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 w:rsidRPr="005B349A">
        <w:rPr>
          <w:rFonts w:ascii="Arial" w:hAnsi="Arial" w:cs="Arial"/>
          <w:sz w:val="16"/>
          <w:szCs w:val="16"/>
        </w:rPr>
        <w:t>Información correspondiente al cuarto trimestre de 202</w:t>
      </w:r>
      <w:r>
        <w:rPr>
          <w:rFonts w:ascii="Arial" w:hAnsi="Arial" w:cs="Arial"/>
          <w:sz w:val="16"/>
          <w:szCs w:val="16"/>
        </w:rPr>
        <w:t>2</w:t>
      </w:r>
      <w:r w:rsidRPr="005B349A">
        <w:rPr>
          <w:rFonts w:ascii="Arial" w:hAnsi="Arial" w:cs="Arial"/>
          <w:sz w:val="16"/>
          <w:szCs w:val="16"/>
        </w:rPr>
        <w:t xml:space="preserve"> de la ENOE</w:t>
      </w:r>
      <w:r w:rsidR="00A4332F" w:rsidRPr="00F95A40">
        <w:rPr>
          <w:rFonts w:ascii="Arial" w:hAnsi="Arial" w:cs="Arial"/>
          <w:sz w:val="16"/>
          <w:szCs w:val="16"/>
          <w:vertAlign w:val="superscript"/>
        </w:rPr>
        <w:t>N</w:t>
      </w:r>
      <w:r w:rsidRPr="005B349A">
        <w:rPr>
          <w:rFonts w:ascii="Arial" w:hAnsi="Arial" w:cs="Arial"/>
          <w:sz w:val="16"/>
          <w:szCs w:val="16"/>
        </w:rPr>
        <w:t xml:space="preserve">. El personal ocupado corresponde a </w:t>
      </w:r>
      <w:r>
        <w:rPr>
          <w:rFonts w:ascii="Arial" w:hAnsi="Arial" w:cs="Arial"/>
          <w:sz w:val="16"/>
          <w:szCs w:val="16"/>
        </w:rPr>
        <w:t>«</w:t>
      </w:r>
      <w:r w:rsidRPr="005B349A">
        <w:rPr>
          <w:rFonts w:ascii="Arial" w:hAnsi="Arial" w:cs="Arial"/>
          <w:sz w:val="16"/>
          <w:szCs w:val="16"/>
        </w:rPr>
        <w:t xml:space="preserve">Personas de 15 </w:t>
      </w:r>
      <w:proofErr w:type="gramStart"/>
      <w:r w:rsidR="00B968BE">
        <w:rPr>
          <w:rFonts w:ascii="Arial" w:hAnsi="Arial" w:cs="Arial"/>
          <w:sz w:val="16"/>
          <w:szCs w:val="16"/>
        </w:rPr>
        <w:t>años</w:t>
      </w:r>
      <w:r w:rsidR="00527E1D">
        <w:rPr>
          <w:rFonts w:ascii="Arial" w:hAnsi="Arial" w:cs="Arial"/>
          <w:sz w:val="16"/>
          <w:szCs w:val="16"/>
        </w:rPr>
        <w:t xml:space="preserve"> de edad</w:t>
      </w:r>
      <w:proofErr w:type="gramEnd"/>
      <w:r w:rsidR="00527E1D">
        <w:rPr>
          <w:rFonts w:ascii="Arial" w:hAnsi="Arial" w:cs="Arial"/>
          <w:sz w:val="16"/>
          <w:szCs w:val="16"/>
        </w:rPr>
        <w:t xml:space="preserve"> </w:t>
      </w:r>
      <w:r w:rsidRPr="005B349A">
        <w:rPr>
          <w:rFonts w:ascii="Arial" w:hAnsi="Arial" w:cs="Arial"/>
          <w:sz w:val="16"/>
          <w:szCs w:val="16"/>
        </w:rPr>
        <w:t>y más que en la semana de referencia realizaron alguna actividad económica durante al menos una hora. Incluye a</w:t>
      </w:r>
      <w:r>
        <w:rPr>
          <w:rFonts w:ascii="Arial" w:hAnsi="Arial" w:cs="Arial"/>
          <w:sz w:val="16"/>
          <w:szCs w:val="16"/>
        </w:rPr>
        <w:t xml:space="preserve"> las y</w:t>
      </w:r>
      <w:r w:rsidRPr="005B349A">
        <w:rPr>
          <w:rFonts w:ascii="Arial" w:hAnsi="Arial" w:cs="Arial"/>
          <w:sz w:val="16"/>
          <w:szCs w:val="16"/>
        </w:rPr>
        <w:t xml:space="preserve"> los ocupados que tenían trabajo, pero no lo desempeñaron temporalmente por alguna razón, sin que por ello perdieran el vínculo laboral con este; así como a quienes ayudaron en alguna actividad económica sin recibir un sueldo o salario</w:t>
      </w:r>
      <w:r>
        <w:rPr>
          <w:rFonts w:ascii="Arial" w:hAnsi="Arial" w:cs="Arial"/>
          <w:sz w:val="16"/>
          <w:szCs w:val="16"/>
        </w:rPr>
        <w:t>»</w:t>
      </w:r>
      <w:r w:rsidRPr="005B349A">
        <w:rPr>
          <w:rFonts w:ascii="Arial" w:hAnsi="Arial" w:cs="Arial"/>
          <w:sz w:val="16"/>
          <w:szCs w:val="16"/>
        </w:rPr>
        <w:t>.</w:t>
      </w:r>
    </w:p>
    <w:p w14:paraId="436333FA" w14:textId="2EEF057F" w:rsidR="000F5B5A" w:rsidRDefault="000F5B5A" w:rsidP="00F95A40">
      <w:pPr>
        <w:tabs>
          <w:tab w:val="left" w:pos="1020"/>
        </w:tabs>
        <w:kinsoku w:val="0"/>
        <w:overflowPunct w:val="0"/>
        <w:spacing w:after="240"/>
        <w:ind w:right="504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 w:rsidR="00B968BE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4C09EA9F" w14:textId="48C76991" w:rsidR="00644151" w:rsidRPr="006B597A" w:rsidRDefault="00644151" w:rsidP="001D3FF0">
      <w:pPr>
        <w:widowControl/>
        <w:autoSpaceDE/>
        <w:autoSpaceDN/>
        <w:adjustRightInd/>
        <w:spacing w:after="160" w:line="259" w:lineRule="auto"/>
        <w:ind w:right="-66"/>
        <w:jc w:val="both"/>
        <w:rPr>
          <w:rFonts w:ascii="Arial Negrita" w:hAnsi="Arial Negrita"/>
          <w:b/>
          <w:smallCaps/>
        </w:rPr>
      </w:pPr>
      <w:r w:rsidRPr="006B597A">
        <w:rPr>
          <w:rFonts w:ascii="Arial Negrita" w:hAnsi="Arial Negrita"/>
          <w:b/>
          <w:smallCaps/>
        </w:rPr>
        <w:lastRenderedPageBreak/>
        <w:t>Huelgas</w:t>
      </w:r>
    </w:p>
    <w:p w14:paraId="05C64C14" w14:textId="40BD6FA2" w:rsidR="00644151" w:rsidRDefault="00DB7D21" w:rsidP="001D3FF0">
      <w:pPr>
        <w:pStyle w:val="Textoindependiente"/>
        <w:kinsoku w:val="0"/>
        <w:overflowPunct w:val="0"/>
        <w:spacing w:after="240"/>
        <w:ind w:left="0" w:right="-66"/>
        <w:jc w:val="both"/>
      </w:pPr>
      <w:r>
        <w:t>L</w:t>
      </w:r>
      <w:r w:rsidR="00644151">
        <w:t>os principales momentos que se miden en el proceso de huelga son: emplazamientos a huelga (origen del proceso), emplazamientos a huelga solucionados, huelgas estalladas y huelgas solucionadas.</w:t>
      </w:r>
    </w:p>
    <w:p w14:paraId="23613E2F" w14:textId="3A108EF2" w:rsidR="00644151" w:rsidRPr="00F95A40" w:rsidRDefault="00644151" w:rsidP="001D3FF0">
      <w:pPr>
        <w:pStyle w:val="Textoindependiente"/>
        <w:kinsoku w:val="0"/>
        <w:overflowPunct w:val="0"/>
        <w:spacing w:after="240"/>
        <w:ind w:left="0" w:right="-66" w:firstLine="720"/>
        <w:jc w:val="both"/>
        <w:rPr>
          <w:rFonts w:ascii="Arial Negrita" w:hAnsi="Arial Negrita"/>
          <w:b/>
        </w:rPr>
      </w:pPr>
      <w:r w:rsidRPr="00F95A40">
        <w:rPr>
          <w:rFonts w:ascii="Arial Negrita" w:hAnsi="Arial Negrita"/>
          <w:b/>
        </w:rPr>
        <w:t>Emplazamientos a huelga</w:t>
      </w:r>
    </w:p>
    <w:p w14:paraId="20D3EE7F" w14:textId="7E8B5789" w:rsidR="006B597A" w:rsidRDefault="00644151" w:rsidP="001D3FF0">
      <w:pPr>
        <w:pStyle w:val="Textoindependiente"/>
        <w:kinsoku w:val="0"/>
        <w:overflowPunct w:val="0"/>
        <w:spacing w:after="240"/>
        <w:ind w:left="0" w:right="-66"/>
        <w:jc w:val="both"/>
      </w:pPr>
      <w:r>
        <w:t xml:space="preserve">La evolución de los emplazamientos a huelga registró una disminución de </w:t>
      </w:r>
      <w:r w:rsidR="002F221D">
        <w:t>74</w:t>
      </w:r>
      <w:r>
        <w:t>.</w:t>
      </w:r>
      <w:r w:rsidR="002F221D">
        <w:t>5</w:t>
      </w:r>
      <w:r w:rsidR="00072ADC">
        <w:t> </w:t>
      </w:r>
      <w:r>
        <w:t>% con respecto a 20</w:t>
      </w:r>
      <w:r w:rsidR="009E6440">
        <w:t>2</w:t>
      </w:r>
      <w:r w:rsidR="002F221D">
        <w:t>1</w:t>
      </w:r>
      <w:r>
        <w:t xml:space="preserve">, al pasar de </w:t>
      </w:r>
      <w:r w:rsidR="009E6440">
        <w:t>1</w:t>
      </w:r>
      <w:r w:rsidR="002F221D">
        <w:t>2</w:t>
      </w:r>
      <w:r w:rsidR="00AA0260">
        <w:t xml:space="preserve"> </w:t>
      </w:r>
      <w:r w:rsidR="002F221D">
        <w:t>367</w:t>
      </w:r>
      <w:r>
        <w:t xml:space="preserve"> a </w:t>
      </w:r>
      <w:r w:rsidR="002F221D">
        <w:t>3</w:t>
      </w:r>
      <w:r w:rsidR="00AA0260">
        <w:t xml:space="preserve"> </w:t>
      </w:r>
      <w:r w:rsidR="002F221D">
        <w:t>151</w:t>
      </w:r>
      <w:r>
        <w:t>.</w:t>
      </w:r>
      <w:r w:rsidR="006B597A" w:rsidRPr="006B597A">
        <w:t xml:space="preserve"> </w:t>
      </w:r>
      <w:r w:rsidR="006B597A">
        <w:t>En 2022, Ciudad de México y Nuevo León registraron el mayor número de emplazamientos a huelga y alcanzaron, en conjunto, 47.8 % del total nacional.</w:t>
      </w:r>
    </w:p>
    <w:p w14:paraId="649B5D46" w14:textId="7D714C5C" w:rsidR="00644151" w:rsidRDefault="00644151" w:rsidP="00F95A40">
      <w:pPr>
        <w:pStyle w:val="Textoindependiente"/>
        <w:kinsoku w:val="0"/>
        <w:overflowPunct w:val="0"/>
        <w:spacing w:after="120"/>
        <w:ind w:left="0" w:right="-208"/>
        <w:jc w:val="both"/>
      </w:pPr>
    </w:p>
    <w:p w14:paraId="6A67D875" w14:textId="63DD83E6" w:rsidR="00C7408C" w:rsidRPr="00084797" w:rsidRDefault="009171C3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Gr</w:t>
      </w:r>
      <w:r w:rsidR="009F31EA">
        <w:rPr>
          <w:sz w:val="20"/>
          <w:szCs w:val="20"/>
        </w:rPr>
        <w:t>á</w:t>
      </w:r>
      <w:r>
        <w:rPr>
          <w:sz w:val="20"/>
          <w:szCs w:val="20"/>
        </w:rPr>
        <w:t>fica 17</w:t>
      </w:r>
    </w:p>
    <w:p w14:paraId="5E256C8F" w14:textId="21BCB33E" w:rsidR="00BC4D1B" w:rsidRPr="00774F63" w:rsidRDefault="00BC4D1B" w:rsidP="000D236E">
      <w:pPr>
        <w:pStyle w:val="Textoindependiente"/>
        <w:keepNext/>
        <w:kinsoku w:val="0"/>
        <w:overflowPunct w:val="0"/>
        <w:ind w:left="0"/>
        <w:jc w:val="center"/>
        <w:rPr>
          <w:rFonts w:ascii="Arial Negrita" w:hAnsi="Arial Negrita"/>
          <w:b/>
          <w:smallCaps/>
          <w:sz w:val="22"/>
          <w:szCs w:val="22"/>
        </w:rPr>
      </w:pPr>
      <w:r>
        <w:rPr>
          <w:rFonts w:ascii="Arial Negrita" w:hAnsi="Arial Negrita"/>
          <w:b/>
          <w:smallCaps/>
          <w:sz w:val="22"/>
          <w:szCs w:val="22"/>
        </w:rPr>
        <w:t xml:space="preserve"> </w:t>
      </w:r>
      <w:r w:rsidR="00813D30">
        <w:rPr>
          <w:rFonts w:ascii="Arial Negrita" w:hAnsi="Arial Negrita"/>
          <w:b/>
          <w:smallCaps/>
          <w:sz w:val="22"/>
          <w:szCs w:val="22"/>
        </w:rPr>
        <w:t>E</w:t>
      </w:r>
      <w:r>
        <w:rPr>
          <w:rFonts w:ascii="Arial Negrita" w:hAnsi="Arial Negrita"/>
          <w:b/>
          <w:smallCaps/>
          <w:sz w:val="22"/>
          <w:szCs w:val="22"/>
        </w:rPr>
        <w:t>mplazamientos a huelga</w:t>
      </w:r>
      <w:r w:rsidR="00813D30">
        <w:rPr>
          <w:rFonts w:ascii="Arial Negrita" w:hAnsi="Arial Negrita"/>
          <w:b/>
          <w:smallCaps/>
          <w:sz w:val="22"/>
          <w:szCs w:val="22"/>
        </w:rPr>
        <w:t>, según</w:t>
      </w:r>
      <w:r w:rsidRPr="00774F63">
        <w:rPr>
          <w:rFonts w:ascii="Arial Negrita" w:hAnsi="Arial Negrita"/>
          <w:b/>
          <w:smallCaps/>
          <w:sz w:val="22"/>
          <w:szCs w:val="22"/>
        </w:rPr>
        <w:t xml:space="preserve">  </w:t>
      </w:r>
      <w:r>
        <w:rPr>
          <w:rFonts w:ascii="Arial Negrita" w:hAnsi="Arial Negrita"/>
          <w:b/>
          <w:smallCaps/>
          <w:sz w:val="22"/>
          <w:szCs w:val="22"/>
        </w:rPr>
        <w:t>entidad federativa</w:t>
      </w:r>
    </w:p>
    <w:p w14:paraId="7A30676A" w14:textId="03C091CE" w:rsidR="00BC4D1B" w:rsidRDefault="009F4B84" w:rsidP="009C3ECE">
      <w:pPr>
        <w:pStyle w:val="Textoindependiente"/>
        <w:keepNext/>
        <w:kinsoku w:val="0"/>
        <w:overflowPunct w:val="0"/>
        <w:ind w:left="0"/>
        <w:jc w:val="center"/>
        <w:rPr>
          <w:bCs/>
          <w:smallCaps/>
          <w:sz w:val="20"/>
          <w:szCs w:val="20"/>
        </w:rPr>
      </w:pPr>
      <w:r w:rsidRPr="00F95A40">
        <w:rPr>
          <w:bCs/>
          <w:smallCaps/>
          <w:sz w:val="20"/>
          <w:szCs w:val="20"/>
        </w:rPr>
        <w:t>2022</w:t>
      </w:r>
    </w:p>
    <w:p w14:paraId="626240AF" w14:textId="5F350B71" w:rsidR="00BC4D1B" w:rsidRDefault="00813D30" w:rsidP="009C3ECE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F95A40">
        <w:rPr>
          <w:bCs/>
          <w:sz w:val="18"/>
          <w:szCs w:val="18"/>
        </w:rPr>
        <w:t>(Distribución porcentual)</w:t>
      </w:r>
      <w:r w:rsidR="00903916" w:rsidRPr="00903916">
        <w:rPr>
          <w:b/>
          <w:smallCaps/>
          <w:noProof/>
          <w:sz w:val="22"/>
          <w:szCs w:val="22"/>
        </w:rPr>
        <w:drawing>
          <wp:inline distT="0" distB="0" distL="0" distR="0" wp14:anchorId="6345B0BB" wp14:editId="0345F8A8">
            <wp:extent cx="6264589" cy="4977442"/>
            <wp:effectExtent l="0" t="0" r="3175" b="0"/>
            <wp:docPr id="2000825328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25328" name="Imagen 1" descr="Gráfico&#10;&#10;Descripción generada automáticament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64589" cy="497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84A8" w14:textId="5E811463" w:rsidR="000F5B5A" w:rsidRPr="00B57FAC" w:rsidRDefault="000F5B5A" w:rsidP="000F5B5A">
      <w:pPr>
        <w:kinsoku w:val="0"/>
        <w:overflowPunct w:val="0"/>
        <w:spacing w:after="240"/>
        <w:ind w:left="851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67532E09" w14:textId="3741F4F4" w:rsidR="00C7408C" w:rsidRPr="00084797" w:rsidRDefault="00C7408C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lastRenderedPageBreak/>
        <w:t xml:space="preserve">Gráfica </w:t>
      </w:r>
      <w:r>
        <w:rPr>
          <w:sz w:val="20"/>
          <w:szCs w:val="20"/>
        </w:rPr>
        <w:t>1</w:t>
      </w:r>
      <w:r w:rsidR="009171C3">
        <w:rPr>
          <w:sz w:val="20"/>
          <w:szCs w:val="20"/>
        </w:rPr>
        <w:t>8</w:t>
      </w:r>
    </w:p>
    <w:p w14:paraId="60FA3507" w14:textId="12D46C22" w:rsidR="00644151" w:rsidRDefault="00644151" w:rsidP="009C3ECE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Emplazamientos a huelga</w:t>
      </w:r>
    </w:p>
    <w:p w14:paraId="54CAB670" w14:textId="1BAA4671" w:rsidR="009F4B84" w:rsidRPr="00F95A40" w:rsidRDefault="009F4B84" w:rsidP="009C3ECE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9F4B84">
        <w:rPr>
          <w:bCs/>
          <w:smallCaps/>
          <w:sz w:val="18"/>
          <w:szCs w:val="18"/>
        </w:rPr>
        <w:t>2022</w:t>
      </w:r>
    </w:p>
    <w:p w14:paraId="2068030D" w14:textId="41099040" w:rsidR="00232133" w:rsidRPr="006973BD" w:rsidRDefault="00232133" w:rsidP="009C3ECE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232133">
        <w:rPr>
          <w:b/>
          <w:smallCaps/>
          <w:noProof/>
          <w:sz w:val="22"/>
          <w:szCs w:val="22"/>
        </w:rPr>
        <w:drawing>
          <wp:inline distT="0" distB="0" distL="0" distR="0" wp14:anchorId="26EFCB35" wp14:editId="35F2C64A">
            <wp:extent cx="6261100" cy="3333750"/>
            <wp:effectExtent l="0" t="0" r="6350" b="0"/>
            <wp:docPr id="1269525968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25968" name="Imagen 1" descr="Gráfico, Gráfico de barras&#10;&#10;Descripción generada automáticament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58CE" w14:textId="43806E14" w:rsidR="000F5B5A" w:rsidRDefault="000F5B5A" w:rsidP="004D7A49">
      <w:pPr>
        <w:kinsoku w:val="0"/>
        <w:overflowPunct w:val="0"/>
        <w:ind w:left="851" w:right="505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310BD1A7" w14:textId="77777777" w:rsidR="005568C9" w:rsidRPr="00B57FAC" w:rsidRDefault="005568C9" w:rsidP="00F95A40">
      <w:pPr>
        <w:kinsoku w:val="0"/>
        <w:overflowPunct w:val="0"/>
        <w:ind w:left="851" w:right="505" w:hanging="567"/>
        <w:rPr>
          <w:rFonts w:ascii="Arial" w:eastAsia="Times New Roman" w:hAnsi="Arial" w:cs="Arial"/>
          <w:sz w:val="16"/>
          <w:szCs w:val="16"/>
        </w:rPr>
      </w:pPr>
    </w:p>
    <w:p w14:paraId="69B4704A" w14:textId="2D65A809" w:rsidR="00A353AC" w:rsidRDefault="00B4607B" w:rsidP="00F95A40">
      <w:pPr>
        <w:pStyle w:val="Textoindependiente"/>
        <w:keepLines/>
        <w:kinsoku w:val="0"/>
        <w:overflowPunct w:val="0"/>
        <w:ind w:left="0"/>
        <w:jc w:val="both"/>
      </w:pPr>
      <w:r>
        <w:rPr>
          <w:rStyle w:val="ui-provider"/>
        </w:rPr>
        <w:t>De los emplazamientos a huelga, 27.5 % tuvo como demanda la</w:t>
      </w:r>
      <w:r w:rsidR="00C52B3D">
        <w:rPr>
          <w:rStyle w:val="ui-provider"/>
        </w:rPr>
        <w:t xml:space="preserve"> firma de contrato colectivo y 25.2 %, revisión del contrato colectivo. </w:t>
      </w:r>
      <w:r w:rsidR="004D7A49">
        <w:rPr>
          <w:rStyle w:val="ui-provider"/>
        </w:rPr>
        <w:t>El porcentaje</w:t>
      </w:r>
      <w:r w:rsidR="00CA49BD">
        <w:rPr>
          <w:rStyle w:val="ui-provider"/>
        </w:rPr>
        <w:t xml:space="preserve"> </w:t>
      </w:r>
      <w:r w:rsidR="00C52B3D">
        <w:rPr>
          <w:rStyle w:val="ui-provider"/>
        </w:rPr>
        <w:t>en 2021 fue distint</w:t>
      </w:r>
      <w:r w:rsidR="004D7A49">
        <w:rPr>
          <w:rStyle w:val="ui-provider"/>
        </w:rPr>
        <w:t>o</w:t>
      </w:r>
      <w:r w:rsidR="00C52B3D">
        <w:rPr>
          <w:rStyle w:val="ui-provider"/>
        </w:rPr>
        <w:t xml:space="preserve">, con 65.1 y </w:t>
      </w:r>
      <w:r w:rsidR="004D7A49">
        <w:rPr>
          <w:rStyle w:val="ui-provider"/>
        </w:rPr>
        <w:t xml:space="preserve">           </w:t>
      </w:r>
      <w:r w:rsidR="00C52B3D">
        <w:rPr>
          <w:rStyle w:val="ui-provider"/>
        </w:rPr>
        <w:t>13.9 %, respectivamente.</w:t>
      </w:r>
    </w:p>
    <w:p w14:paraId="2F7B533A" w14:textId="4AB1385D" w:rsidR="008E7DAE" w:rsidRPr="00084797" w:rsidRDefault="008E7DAE" w:rsidP="000D236E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>
        <w:rPr>
          <w:sz w:val="20"/>
          <w:szCs w:val="20"/>
        </w:rPr>
        <w:t>1</w:t>
      </w:r>
      <w:r w:rsidR="009171C3">
        <w:rPr>
          <w:sz w:val="20"/>
          <w:szCs w:val="20"/>
        </w:rPr>
        <w:t>9</w:t>
      </w:r>
    </w:p>
    <w:p w14:paraId="766206ED" w14:textId="51157588" w:rsidR="00BF0246" w:rsidRDefault="00644151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Motivos que originaron los emplazamientos a huel</w:t>
      </w:r>
      <w:r w:rsidR="00BF0246">
        <w:rPr>
          <w:b/>
          <w:smallCaps/>
          <w:sz w:val="22"/>
          <w:szCs w:val="22"/>
        </w:rPr>
        <w:t>ga</w:t>
      </w:r>
    </w:p>
    <w:p w14:paraId="1F81D35E" w14:textId="777645F2" w:rsidR="009F4B84" w:rsidRDefault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21879F40" w14:textId="258826E3" w:rsidR="00F92755" w:rsidRPr="00F95A40" w:rsidRDefault="00F92755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2"/>
        </w:rPr>
      </w:pPr>
      <w:r w:rsidRPr="00F92755">
        <w:rPr>
          <w:b/>
          <w:noProof/>
          <w:sz w:val="20"/>
          <w:szCs w:val="22"/>
        </w:rPr>
        <w:drawing>
          <wp:inline distT="0" distB="0" distL="0" distR="0" wp14:anchorId="734898F8" wp14:editId="5DE8CB62">
            <wp:extent cx="3164619" cy="3064007"/>
            <wp:effectExtent l="0" t="0" r="0" b="3175"/>
            <wp:docPr id="698123205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23205" name="Imagen 1" descr="Gráfico, Gráfico circular&#10;&#10;Descripción generada automá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21040" cy="31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2B44" w14:textId="37D3E7CF" w:rsidR="004D7A49" w:rsidRDefault="000F5B5A" w:rsidP="004D7A49">
      <w:pPr>
        <w:kinsoku w:val="0"/>
        <w:overflowPunct w:val="0"/>
        <w:ind w:left="2552" w:right="505" w:hanging="142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 w:rsidR="004D7A49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</w:t>
      </w:r>
    </w:p>
    <w:p w14:paraId="4EBCB7F2" w14:textId="2E123C6F" w:rsidR="000F5B5A" w:rsidRPr="00B57FAC" w:rsidRDefault="000F5B5A" w:rsidP="004D7A49">
      <w:pPr>
        <w:kinsoku w:val="0"/>
        <w:overflowPunct w:val="0"/>
        <w:spacing w:after="240"/>
        <w:ind w:left="2552" w:right="504" w:hanging="28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4D7A49">
        <w:rPr>
          <w:rFonts w:ascii="Arial" w:eastAsia="Times New Roman" w:hAnsi="Arial" w:cs="Arial"/>
          <w:sz w:val="16"/>
          <w:szCs w:val="16"/>
        </w:rPr>
        <w:t xml:space="preserve">             </w:t>
      </w:r>
      <w:r>
        <w:rPr>
          <w:rFonts w:ascii="Arial" w:eastAsia="Times New Roman" w:hAnsi="Arial" w:cs="Arial"/>
          <w:sz w:val="16"/>
          <w:szCs w:val="16"/>
        </w:rPr>
        <w:t xml:space="preserve">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2717BA6C" w14:textId="0F6659B1" w:rsidR="00644151" w:rsidRPr="00F95A40" w:rsidRDefault="00644151" w:rsidP="00F95A40">
      <w:pPr>
        <w:widowControl/>
        <w:autoSpaceDE/>
        <w:autoSpaceDN/>
        <w:adjustRightInd/>
        <w:spacing w:after="160" w:line="259" w:lineRule="auto"/>
        <w:ind w:firstLine="720"/>
        <w:rPr>
          <w:rFonts w:ascii="Arial Negrita" w:hAnsi="Arial Negrita"/>
          <w:b/>
        </w:rPr>
      </w:pPr>
      <w:r w:rsidRPr="00F95A40">
        <w:rPr>
          <w:rFonts w:ascii="Arial Negrita" w:hAnsi="Arial Negrita"/>
          <w:b/>
        </w:rPr>
        <w:lastRenderedPageBreak/>
        <w:t>Emplazamientos a huelga solucionados</w:t>
      </w:r>
    </w:p>
    <w:p w14:paraId="02D7D61F" w14:textId="2F5624E0" w:rsidR="006B597A" w:rsidRDefault="00C52B3D" w:rsidP="009340B9">
      <w:pPr>
        <w:pStyle w:val="Textoindependiente"/>
        <w:kinsoku w:val="0"/>
        <w:overflowPunct w:val="0"/>
        <w:ind w:left="0" w:right="-66"/>
        <w:jc w:val="both"/>
      </w:pPr>
      <w:r>
        <w:rPr>
          <w:rStyle w:val="ui-provider"/>
        </w:rPr>
        <w:t>Los emplazamientos a huelga solucionados en 2022 registraron una disminución de 18.9 % respecto a 2021, al pasar de 9 947 a 8 064 casos. Los emplazamientos a huelga que se solucionaron porque el sindicato no acudió a la audiencia (Art. 927-II de la L</w:t>
      </w:r>
      <w:r w:rsidR="009340B9">
        <w:rPr>
          <w:rStyle w:val="ui-provider"/>
        </w:rPr>
        <w:t>FT</w:t>
      </w:r>
      <w:r>
        <w:rPr>
          <w:rStyle w:val="ui-provider"/>
        </w:rPr>
        <w:t>) ascendieron a 36.9 </w:t>
      </w:r>
      <w:r w:rsidR="008815D2">
        <w:rPr>
          <w:rStyle w:val="ui-provider"/>
        </w:rPr>
        <w:t>por ciento</w:t>
      </w:r>
      <w:r>
        <w:rPr>
          <w:rStyle w:val="ui-provider"/>
        </w:rPr>
        <w:t xml:space="preserve">. En 2021, la proporción de casos resueltos por este concepto fue de </w:t>
      </w:r>
      <w:r w:rsidR="008815D2">
        <w:rPr>
          <w:rStyle w:val="ui-provider"/>
        </w:rPr>
        <w:t xml:space="preserve">           </w:t>
      </w:r>
      <w:r>
        <w:rPr>
          <w:rStyle w:val="ui-provider"/>
        </w:rPr>
        <w:t>37.3 por ciento.</w:t>
      </w:r>
    </w:p>
    <w:p w14:paraId="54578711" w14:textId="2D3E15C4" w:rsidR="00644151" w:rsidRDefault="00644151" w:rsidP="00F95A40">
      <w:pPr>
        <w:pStyle w:val="Textoindependiente"/>
        <w:kinsoku w:val="0"/>
        <w:overflowPunct w:val="0"/>
        <w:ind w:left="0" w:right="-208"/>
        <w:jc w:val="both"/>
      </w:pPr>
    </w:p>
    <w:p w14:paraId="3C8EA428" w14:textId="77777777" w:rsidR="00AA0260" w:rsidRPr="00084797" w:rsidRDefault="00AA0260" w:rsidP="00AA0260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>
        <w:rPr>
          <w:sz w:val="20"/>
          <w:szCs w:val="20"/>
        </w:rPr>
        <w:t>20</w:t>
      </w:r>
    </w:p>
    <w:p w14:paraId="473C79B5" w14:textId="3CD4FC31" w:rsidR="00AA0260" w:rsidRPr="00AA0260" w:rsidRDefault="00AA0260" w:rsidP="00AA0260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Forma de solución de los emplazamientos</w:t>
      </w:r>
    </w:p>
    <w:p w14:paraId="7615F329" w14:textId="76E4829C" w:rsidR="00AA0260" w:rsidRDefault="00AA0260" w:rsidP="00AA0260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4C845E1E" w14:textId="53F43E9E" w:rsidR="00F92755" w:rsidRPr="00F95A40" w:rsidRDefault="00F92755" w:rsidP="00AA0260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2"/>
        </w:rPr>
      </w:pPr>
      <w:r w:rsidRPr="00F92755">
        <w:rPr>
          <w:b/>
          <w:noProof/>
          <w:sz w:val="20"/>
          <w:szCs w:val="22"/>
        </w:rPr>
        <w:drawing>
          <wp:inline distT="0" distB="0" distL="0" distR="0" wp14:anchorId="5C131B66" wp14:editId="554D1B69">
            <wp:extent cx="4972050" cy="2508025"/>
            <wp:effectExtent l="0" t="0" r="0" b="6985"/>
            <wp:docPr id="1494057228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57228" name="Imagen 1" descr="Gráfico, Gráfico de barras&#10;&#10;Descripción generada automáticament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83423" cy="251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DEEB1" w14:textId="2767E4A8" w:rsidR="00A80E2D" w:rsidRDefault="009340B9" w:rsidP="009340B9">
      <w:pPr>
        <w:pStyle w:val="Textoindependiente"/>
        <w:kinsoku w:val="0"/>
        <w:overflowPunct w:val="0"/>
        <w:ind w:left="993"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80E2D" w:rsidRPr="009C3ECE">
        <w:rPr>
          <w:sz w:val="16"/>
          <w:szCs w:val="16"/>
        </w:rPr>
        <w:t>Nota:</w:t>
      </w:r>
      <w:r w:rsidR="00AA0260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FB0B26">
        <w:rPr>
          <w:sz w:val="16"/>
          <w:szCs w:val="16"/>
        </w:rPr>
        <w:t>«</w:t>
      </w:r>
      <w:r w:rsidR="00A80E2D" w:rsidRPr="00F95A40">
        <w:rPr>
          <w:iCs/>
          <w:sz w:val="16"/>
        </w:rPr>
        <w:t>Otras</w:t>
      </w:r>
      <w:r w:rsidR="00FB0B26">
        <w:rPr>
          <w:i/>
          <w:sz w:val="16"/>
        </w:rPr>
        <w:t>»</w:t>
      </w:r>
      <w:r w:rsidR="00A80E2D" w:rsidRPr="009C3ECE">
        <w:rPr>
          <w:sz w:val="16"/>
          <w:szCs w:val="16"/>
        </w:rPr>
        <w:t xml:space="preserve"> incluye</w:t>
      </w:r>
      <w:r w:rsidR="00FB0B26">
        <w:rPr>
          <w:sz w:val="16"/>
          <w:szCs w:val="16"/>
        </w:rPr>
        <w:t xml:space="preserve"> los casos</w:t>
      </w:r>
      <w:r w:rsidR="00A80E2D" w:rsidRPr="009C3ECE">
        <w:rPr>
          <w:sz w:val="16"/>
          <w:szCs w:val="16"/>
        </w:rPr>
        <w:t xml:space="preserve"> no espec</w:t>
      </w:r>
      <w:r w:rsidR="00B32B4E">
        <w:rPr>
          <w:sz w:val="16"/>
          <w:szCs w:val="16"/>
        </w:rPr>
        <w:t>ificado</w:t>
      </w:r>
      <w:r w:rsidR="00FB0B26">
        <w:rPr>
          <w:sz w:val="16"/>
          <w:szCs w:val="16"/>
        </w:rPr>
        <w:t>s</w:t>
      </w:r>
      <w:r w:rsidR="00A80E2D" w:rsidRPr="009C3ECE">
        <w:rPr>
          <w:sz w:val="16"/>
          <w:szCs w:val="16"/>
        </w:rPr>
        <w:t>.</w:t>
      </w:r>
    </w:p>
    <w:p w14:paraId="2FCBD79F" w14:textId="25EFA317" w:rsidR="000F5B5A" w:rsidRPr="00B57FAC" w:rsidRDefault="009340B9" w:rsidP="009340B9">
      <w:pPr>
        <w:kinsoku w:val="0"/>
        <w:overflowPunct w:val="0"/>
        <w:spacing w:after="240"/>
        <w:ind w:left="993" w:right="504" w:hanging="14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</w:t>
      </w:r>
      <w:r w:rsidR="000F5B5A"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0F5B5A">
        <w:rPr>
          <w:rFonts w:ascii="Arial" w:eastAsia="Times New Roman" w:hAnsi="Arial" w:cs="Arial"/>
          <w:sz w:val="16"/>
          <w:szCs w:val="16"/>
        </w:rPr>
        <w:t xml:space="preserve">INEGI. 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 w:rsidR="000F5B5A">
        <w:rPr>
          <w:rFonts w:ascii="Arial" w:eastAsia="Times New Roman" w:hAnsi="Arial" w:cs="Arial"/>
          <w:sz w:val="16"/>
          <w:szCs w:val="16"/>
        </w:rPr>
        <w:t>R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 w:rsidR="000F5B5A">
        <w:rPr>
          <w:rFonts w:ascii="Arial" w:eastAsia="Times New Roman" w:hAnsi="Arial" w:cs="Arial"/>
          <w:sz w:val="16"/>
          <w:szCs w:val="16"/>
        </w:rPr>
        <w:t>L</w:t>
      </w:r>
      <w:r w:rsidR="000F5B5A" w:rsidRPr="00B57FAC">
        <w:rPr>
          <w:rFonts w:ascii="Arial" w:eastAsia="Times New Roman" w:hAnsi="Arial" w:cs="Arial"/>
          <w:sz w:val="16"/>
          <w:szCs w:val="16"/>
        </w:rPr>
        <w:t>aborales</w:t>
      </w:r>
      <w:r w:rsidR="000F5B5A"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 w:rsidR="000F5B5A">
        <w:rPr>
          <w:rFonts w:ascii="Arial" w:eastAsia="Times New Roman" w:hAnsi="Arial" w:cs="Arial"/>
          <w:sz w:val="16"/>
          <w:szCs w:val="16"/>
        </w:rPr>
        <w:t>2022</w:t>
      </w:r>
    </w:p>
    <w:p w14:paraId="1442A0CC" w14:textId="77777777" w:rsidR="00364966" w:rsidRDefault="00364966">
      <w:pPr>
        <w:widowControl/>
        <w:autoSpaceDE/>
        <w:autoSpaceDN/>
        <w:adjustRightInd/>
        <w:spacing w:after="160" w:line="259" w:lineRule="auto"/>
        <w:rPr>
          <w:rFonts w:ascii="Arial Negrita" w:hAnsi="Arial Negrita" w:cs="Arial"/>
          <w:b/>
          <w:smallCaps/>
        </w:rPr>
      </w:pPr>
      <w:r>
        <w:rPr>
          <w:rFonts w:ascii="Arial Negrita" w:hAnsi="Arial Negrita"/>
          <w:b/>
          <w:smallCaps/>
        </w:rPr>
        <w:br w:type="page"/>
      </w:r>
    </w:p>
    <w:p w14:paraId="6C9B33DC" w14:textId="22BE8D02" w:rsidR="00644151" w:rsidRDefault="00644151" w:rsidP="009340B9">
      <w:pPr>
        <w:pStyle w:val="Textoindependiente"/>
        <w:kinsoku w:val="0"/>
        <w:overflowPunct w:val="0"/>
        <w:ind w:left="0" w:firstLine="709"/>
        <w:jc w:val="both"/>
        <w:rPr>
          <w:rFonts w:ascii="Arial Negrita" w:hAnsi="Arial Negrita"/>
          <w:b/>
        </w:rPr>
      </w:pPr>
      <w:r w:rsidRPr="00F95A40">
        <w:rPr>
          <w:rFonts w:ascii="Arial Negrita" w:hAnsi="Arial Negrita"/>
          <w:b/>
        </w:rPr>
        <w:lastRenderedPageBreak/>
        <w:t>Huelgas estalladas</w:t>
      </w:r>
    </w:p>
    <w:p w14:paraId="033447D1" w14:textId="77777777" w:rsidR="009340B9" w:rsidRPr="00F95A40" w:rsidRDefault="009340B9" w:rsidP="009340B9">
      <w:pPr>
        <w:pStyle w:val="Textoindependiente"/>
        <w:kinsoku w:val="0"/>
        <w:overflowPunct w:val="0"/>
        <w:ind w:left="0" w:firstLine="709"/>
        <w:jc w:val="both"/>
        <w:rPr>
          <w:rFonts w:ascii="Arial Negrita" w:hAnsi="Arial Negrita"/>
          <w:b/>
        </w:rPr>
      </w:pPr>
    </w:p>
    <w:p w14:paraId="192168A6" w14:textId="7A9248D7" w:rsidR="00644151" w:rsidRDefault="008E7DAE" w:rsidP="009340B9">
      <w:pPr>
        <w:pStyle w:val="Textoindependiente"/>
        <w:kinsoku w:val="0"/>
        <w:overflowPunct w:val="0"/>
        <w:ind w:left="0" w:right="-208"/>
        <w:jc w:val="both"/>
      </w:pPr>
      <w:r>
        <w:t>Entre 202</w:t>
      </w:r>
      <w:r w:rsidR="002F221D">
        <w:t>1</w:t>
      </w:r>
      <w:r>
        <w:t xml:space="preserve"> y 202</w:t>
      </w:r>
      <w:r w:rsidR="002F221D">
        <w:t>2</w:t>
      </w:r>
      <w:r w:rsidR="00FB0B26">
        <w:t>,</w:t>
      </w:r>
      <w:r>
        <w:t xml:space="preserve"> se </w:t>
      </w:r>
      <w:r w:rsidR="00644151">
        <w:t>observ</w:t>
      </w:r>
      <w:r>
        <w:t>ó</w:t>
      </w:r>
      <w:r w:rsidR="00644151">
        <w:t xml:space="preserve"> un</w:t>
      </w:r>
      <w:r w:rsidR="002F221D">
        <w:t>a disminución</w:t>
      </w:r>
      <w:r w:rsidR="00644151">
        <w:t xml:space="preserve"> </w:t>
      </w:r>
      <w:r>
        <w:t>de 1</w:t>
      </w:r>
      <w:r w:rsidR="002F221D">
        <w:t>9</w:t>
      </w:r>
      <w:r>
        <w:t xml:space="preserve"> a</w:t>
      </w:r>
      <w:r w:rsidR="00FB0B26">
        <w:t xml:space="preserve"> </w:t>
      </w:r>
      <w:r w:rsidR="009340B9">
        <w:t xml:space="preserve">9 </w:t>
      </w:r>
      <w:r w:rsidR="00644151">
        <w:t>huelgas estalladas.</w:t>
      </w:r>
    </w:p>
    <w:p w14:paraId="3EDAC3F6" w14:textId="77777777" w:rsidR="00AA0260" w:rsidRDefault="00AA0260" w:rsidP="009340B9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</w:p>
    <w:p w14:paraId="2FB8BCE1" w14:textId="5C22D1E2" w:rsidR="008E7DAE" w:rsidRDefault="008E7DAE" w:rsidP="009340B9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 w:rsidR="009171C3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14:paraId="31B8672C" w14:textId="1D015E6B" w:rsidR="00644151" w:rsidRDefault="00644151" w:rsidP="009340B9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Huelgas estalladas</w:t>
      </w:r>
    </w:p>
    <w:p w14:paraId="084DF878" w14:textId="6E951479" w:rsidR="009F4B84" w:rsidRPr="00F95A40" w:rsidRDefault="009F4B84" w:rsidP="009340B9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668D208A" w14:textId="3FFF60C2" w:rsidR="00C02C2E" w:rsidRPr="006973BD" w:rsidRDefault="00C02C2E" w:rsidP="000D236E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C02C2E">
        <w:rPr>
          <w:b/>
          <w:smallCaps/>
          <w:noProof/>
          <w:sz w:val="22"/>
          <w:szCs w:val="22"/>
        </w:rPr>
        <w:drawing>
          <wp:inline distT="0" distB="0" distL="0" distR="0" wp14:anchorId="432FB7C9" wp14:editId="18AA7489">
            <wp:extent cx="6077798" cy="3343742"/>
            <wp:effectExtent l="0" t="0" r="0" b="9525"/>
            <wp:docPr id="758075289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75289" name="Imagen 1" descr="Gráfico, Gráfico de barras&#10;&#10;Descripción generada automáticament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3D86" w14:textId="24B60A00" w:rsidR="000F5B5A" w:rsidRDefault="009340B9" w:rsidP="00AA0260">
      <w:pPr>
        <w:kinsoku w:val="0"/>
        <w:overflowPunct w:val="0"/>
        <w:spacing w:after="240"/>
        <w:ind w:left="567" w:right="504" w:hanging="56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</w:t>
      </w:r>
      <w:r w:rsidR="000F5B5A" w:rsidRPr="00B57FAC">
        <w:rPr>
          <w:rFonts w:ascii="Arial" w:eastAsia="Times New Roman" w:hAnsi="Arial" w:cs="Arial"/>
          <w:sz w:val="16"/>
          <w:szCs w:val="16"/>
        </w:rPr>
        <w:t>Fuente:</w:t>
      </w:r>
      <w:r w:rsidR="000F5B5A"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 w:rsidR="000F5B5A">
        <w:rPr>
          <w:rFonts w:ascii="Arial" w:eastAsia="Times New Roman" w:hAnsi="Arial" w:cs="Arial"/>
          <w:sz w:val="16"/>
          <w:szCs w:val="16"/>
        </w:rPr>
        <w:t>R</w:t>
      </w:r>
      <w:r w:rsidR="000F5B5A"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 w:rsidR="000F5B5A">
        <w:rPr>
          <w:rFonts w:ascii="Arial" w:eastAsia="Times New Roman" w:hAnsi="Arial" w:cs="Arial"/>
          <w:sz w:val="16"/>
          <w:szCs w:val="16"/>
        </w:rPr>
        <w:t>L</w:t>
      </w:r>
      <w:r w:rsidR="000F5B5A" w:rsidRPr="00B57FAC">
        <w:rPr>
          <w:rFonts w:ascii="Arial" w:eastAsia="Times New Roman" w:hAnsi="Arial" w:cs="Arial"/>
          <w:sz w:val="16"/>
          <w:szCs w:val="16"/>
        </w:rPr>
        <w:t>aborales</w:t>
      </w:r>
      <w:r w:rsidR="000F5B5A"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 w:rsidR="000F5B5A">
        <w:rPr>
          <w:rFonts w:ascii="Arial" w:eastAsia="Times New Roman" w:hAnsi="Arial" w:cs="Arial"/>
          <w:sz w:val="16"/>
          <w:szCs w:val="16"/>
        </w:rPr>
        <w:t>2022</w:t>
      </w:r>
    </w:p>
    <w:p w14:paraId="725158C4" w14:textId="77777777" w:rsidR="00FB0B26" w:rsidRPr="00B57FAC" w:rsidRDefault="00FB0B26" w:rsidP="00F95A40">
      <w:pPr>
        <w:kinsoku w:val="0"/>
        <w:overflowPunct w:val="0"/>
        <w:ind w:left="567" w:right="505" w:hanging="567"/>
        <w:rPr>
          <w:rFonts w:ascii="Arial" w:eastAsia="Times New Roman" w:hAnsi="Arial" w:cs="Arial"/>
          <w:sz w:val="16"/>
          <w:szCs w:val="16"/>
        </w:rPr>
      </w:pPr>
    </w:p>
    <w:p w14:paraId="6F1786F0" w14:textId="0B77A4BF" w:rsidR="00644151" w:rsidRPr="006878FA" w:rsidRDefault="00644151" w:rsidP="00BB1030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Times New Roman" w:hAnsi="Arial" w:cs="Arial"/>
        </w:rPr>
      </w:pPr>
      <w:r w:rsidRPr="006878FA">
        <w:rPr>
          <w:rFonts w:ascii="Arial" w:eastAsia="Times New Roman" w:hAnsi="Arial" w:cs="Arial"/>
        </w:rPr>
        <w:t xml:space="preserve">De las huelgas estalladas, </w:t>
      </w:r>
      <w:r w:rsidR="002F221D">
        <w:rPr>
          <w:rFonts w:ascii="Arial" w:eastAsia="Times New Roman" w:hAnsi="Arial" w:cs="Arial"/>
        </w:rPr>
        <w:t>cinco tuvieron</w:t>
      </w:r>
      <w:r w:rsidRPr="006878FA">
        <w:rPr>
          <w:rFonts w:ascii="Arial" w:eastAsia="Times New Roman" w:hAnsi="Arial" w:cs="Arial"/>
        </w:rPr>
        <w:t xml:space="preserve"> como demanda </w:t>
      </w:r>
      <w:r w:rsidR="002F221D">
        <w:rPr>
          <w:rFonts w:ascii="Arial" w:eastAsia="Times New Roman" w:hAnsi="Arial" w:cs="Arial"/>
        </w:rPr>
        <w:t xml:space="preserve">el </w:t>
      </w:r>
      <w:r w:rsidR="002F221D" w:rsidRPr="00F95A40">
        <w:rPr>
          <w:rFonts w:ascii="Arial" w:eastAsia="Times New Roman" w:hAnsi="Arial" w:cs="Arial"/>
          <w:i/>
          <w:iCs/>
        </w:rPr>
        <w:t>incumplimiento de contrato</w:t>
      </w:r>
      <w:r w:rsidR="002F221D">
        <w:rPr>
          <w:rFonts w:ascii="Arial" w:eastAsia="Times New Roman" w:hAnsi="Arial" w:cs="Arial"/>
        </w:rPr>
        <w:t xml:space="preserve">, tres fueron por </w:t>
      </w:r>
      <w:r w:rsidR="002F221D" w:rsidRPr="00F95A40">
        <w:rPr>
          <w:rFonts w:ascii="Arial" w:eastAsia="Times New Roman" w:hAnsi="Arial" w:cs="Arial"/>
          <w:i/>
          <w:iCs/>
        </w:rPr>
        <w:t>revisión salarial</w:t>
      </w:r>
      <w:r w:rsidR="002F221D">
        <w:rPr>
          <w:rFonts w:ascii="Arial" w:eastAsia="Times New Roman" w:hAnsi="Arial" w:cs="Arial"/>
        </w:rPr>
        <w:t xml:space="preserve">, dos por </w:t>
      </w:r>
      <w:r w:rsidRPr="00F95A40">
        <w:rPr>
          <w:rFonts w:ascii="Arial" w:eastAsia="Times New Roman" w:hAnsi="Arial" w:cs="Arial"/>
          <w:i/>
          <w:iCs/>
        </w:rPr>
        <w:t>firma de contrato</w:t>
      </w:r>
      <w:r w:rsidR="00732513" w:rsidRPr="00F95A40">
        <w:rPr>
          <w:rFonts w:ascii="Arial" w:eastAsia="Times New Roman" w:hAnsi="Arial" w:cs="Arial"/>
          <w:i/>
          <w:iCs/>
        </w:rPr>
        <w:t xml:space="preserve"> colectivo</w:t>
      </w:r>
      <w:r w:rsidRPr="006878FA">
        <w:rPr>
          <w:rFonts w:ascii="Arial" w:eastAsia="Times New Roman" w:hAnsi="Arial" w:cs="Arial"/>
        </w:rPr>
        <w:t xml:space="preserve">, </w:t>
      </w:r>
      <w:r w:rsidR="00E048FE">
        <w:rPr>
          <w:rFonts w:ascii="Arial" w:eastAsia="Times New Roman" w:hAnsi="Arial" w:cs="Arial"/>
        </w:rPr>
        <w:t xml:space="preserve">por </w:t>
      </w:r>
      <w:r w:rsidR="007F531F" w:rsidRPr="00F95A40">
        <w:rPr>
          <w:rFonts w:ascii="Arial" w:eastAsia="Times New Roman" w:hAnsi="Arial" w:cs="Arial"/>
          <w:i/>
          <w:iCs/>
        </w:rPr>
        <w:t>reparto de utilidades</w:t>
      </w:r>
      <w:r w:rsidR="007F531F">
        <w:rPr>
          <w:rFonts w:ascii="Arial" w:eastAsia="Times New Roman" w:hAnsi="Arial" w:cs="Arial"/>
        </w:rPr>
        <w:t xml:space="preserve"> y </w:t>
      </w:r>
      <w:r w:rsidR="00E048FE">
        <w:rPr>
          <w:rFonts w:ascii="Arial" w:eastAsia="Times New Roman" w:hAnsi="Arial" w:cs="Arial"/>
        </w:rPr>
        <w:t xml:space="preserve">por </w:t>
      </w:r>
      <w:r w:rsidR="007F531F" w:rsidRPr="00F95A40">
        <w:rPr>
          <w:rFonts w:ascii="Arial" w:eastAsia="Times New Roman" w:hAnsi="Arial" w:cs="Arial"/>
          <w:i/>
          <w:iCs/>
        </w:rPr>
        <w:t>desequilibrio de los factores de la producción</w:t>
      </w:r>
      <w:r w:rsidR="00FB0B26">
        <w:rPr>
          <w:rFonts w:ascii="Arial" w:eastAsia="Times New Roman" w:hAnsi="Arial" w:cs="Arial"/>
        </w:rPr>
        <w:t>. P</w:t>
      </w:r>
      <w:r w:rsidR="007F531F">
        <w:rPr>
          <w:rFonts w:ascii="Arial" w:eastAsia="Times New Roman" w:hAnsi="Arial" w:cs="Arial"/>
        </w:rPr>
        <w:t xml:space="preserve">or </w:t>
      </w:r>
      <w:r w:rsidR="007F531F" w:rsidRPr="00F95A40">
        <w:rPr>
          <w:rFonts w:ascii="Arial" w:eastAsia="Times New Roman" w:hAnsi="Arial" w:cs="Arial"/>
          <w:i/>
          <w:iCs/>
        </w:rPr>
        <w:t>revisión de contrato</w:t>
      </w:r>
      <w:r w:rsidR="007F531F">
        <w:rPr>
          <w:rFonts w:ascii="Arial" w:eastAsia="Times New Roman" w:hAnsi="Arial" w:cs="Arial"/>
        </w:rPr>
        <w:t xml:space="preserve"> </w:t>
      </w:r>
      <w:r w:rsidR="00FB0B26">
        <w:rPr>
          <w:rFonts w:ascii="Arial" w:eastAsia="Times New Roman" w:hAnsi="Arial" w:cs="Arial"/>
        </w:rPr>
        <w:t>hubo</w:t>
      </w:r>
      <w:r w:rsidR="007F531F">
        <w:rPr>
          <w:rFonts w:ascii="Arial" w:eastAsia="Times New Roman" w:hAnsi="Arial" w:cs="Arial"/>
        </w:rPr>
        <w:t xml:space="preserve"> una huelga</w:t>
      </w:r>
      <w:r w:rsidRPr="006878FA">
        <w:rPr>
          <w:rFonts w:ascii="Arial" w:eastAsia="Times New Roman" w:hAnsi="Arial" w:cs="Arial"/>
        </w:rPr>
        <w:t>.</w:t>
      </w:r>
    </w:p>
    <w:p w14:paraId="74A09667" w14:textId="192B0E65" w:rsidR="00644151" w:rsidRDefault="00C52B3D" w:rsidP="005B36C2">
      <w:pPr>
        <w:keepLines/>
        <w:kinsoku w:val="0"/>
        <w:overflowPunct w:val="0"/>
        <w:spacing w:after="4080"/>
        <w:jc w:val="both"/>
        <w:rPr>
          <w:rFonts w:ascii="Arial" w:eastAsia="Times New Roman" w:hAnsi="Arial" w:cs="Arial"/>
        </w:rPr>
      </w:pPr>
      <w:r w:rsidRPr="00ED2CF5">
        <w:rPr>
          <w:rStyle w:val="ui-provider"/>
          <w:rFonts w:ascii="Arial" w:hAnsi="Arial" w:cs="Arial"/>
        </w:rPr>
        <w:t>Durante 2022, en Ciudad de México y en Jalisco se registraron dos huelgas en cada una, mientras que, en Aguascalientes, Michoacán de Ocampo, Nayarit, Puebla y Zacatecas</w:t>
      </w:r>
      <w:r w:rsidR="00762312">
        <w:rPr>
          <w:rStyle w:val="ui-provider"/>
          <w:rFonts w:ascii="Arial" w:hAnsi="Arial" w:cs="Arial"/>
        </w:rPr>
        <w:t>,</w:t>
      </w:r>
      <w:r w:rsidR="009340B9">
        <w:rPr>
          <w:rStyle w:val="ui-provider"/>
          <w:rFonts w:ascii="Arial" w:hAnsi="Arial" w:cs="Arial"/>
        </w:rPr>
        <w:t xml:space="preserve"> </w:t>
      </w:r>
      <w:r w:rsidRPr="00ED2CF5">
        <w:rPr>
          <w:rStyle w:val="ui-provider"/>
          <w:rFonts w:ascii="Arial" w:hAnsi="Arial" w:cs="Arial"/>
        </w:rPr>
        <w:t>se registró una huelga</w:t>
      </w:r>
      <w:r w:rsidR="009340B9">
        <w:rPr>
          <w:rStyle w:val="ui-provider"/>
          <w:rFonts w:ascii="Arial" w:hAnsi="Arial" w:cs="Arial"/>
        </w:rPr>
        <w:t xml:space="preserve"> por cada entidad</w:t>
      </w:r>
      <w:r w:rsidRPr="00ED2CF5">
        <w:rPr>
          <w:rStyle w:val="ui-provider"/>
          <w:rFonts w:ascii="Arial" w:hAnsi="Arial" w:cs="Arial"/>
        </w:rPr>
        <w:t>. En 2021, el mayor número de huelgas estalladas se presentó en Jalisco, con 15 casos.</w:t>
      </w:r>
    </w:p>
    <w:p w14:paraId="5BFFCE0A" w14:textId="6108D3F5" w:rsidR="00056FD6" w:rsidRPr="00AA0260" w:rsidRDefault="00F510D7" w:rsidP="006878FA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lastRenderedPageBreak/>
        <w:t xml:space="preserve">Gráfica </w:t>
      </w:r>
      <w:r w:rsidR="009171C3">
        <w:rPr>
          <w:sz w:val="20"/>
          <w:szCs w:val="20"/>
        </w:rPr>
        <w:t>22</w:t>
      </w:r>
    </w:p>
    <w:p w14:paraId="4FB6D8F0" w14:textId="06D2D779" w:rsidR="00644151" w:rsidRDefault="00DA441B" w:rsidP="006878FA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Motivos</w:t>
      </w:r>
      <w:r w:rsidRPr="001F61D4">
        <w:rPr>
          <w:b/>
          <w:smallCaps/>
          <w:sz w:val="22"/>
          <w:szCs w:val="22"/>
          <w:vertAlign w:val="superscript"/>
        </w:rPr>
        <w:t>1</w:t>
      </w:r>
      <w:r w:rsidR="00FB0B26">
        <w:rPr>
          <w:b/>
          <w:smallCaps/>
          <w:sz w:val="22"/>
          <w:szCs w:val="22"/>
          <w:vertAlign w:val="superscript"/>
        </w:rPr>
        <w:t>/</w:t>
      </w:r>
      <w:r>
        <w:rPr>
          <w:b/>
          <w:smallCaps/>
          <w:sz w:val="22"/>
          <w:szCs w:val="22"/>
        </w:rPr>
        <w:t xml:space="preserve"> por </w:t>
      </w:r>
      <w:r w:rsidR="001F2CF1">
        <w:rPr>
          <w:b/>
          <w:smallCaps/>
          <w:sz w:val="22"/>
          <w:szCs w:val="22"/>
        </w:rPr>
        <w:t>los</w:t>
      </w:r>
      <w:r>
        <w:rPr>
          <w:b/>
          <w:smallCaps/>
          <w:sz w:val="22"/>
          <w:szCs w:val="22"/>
        </w:rPr>
        <w:t xml:space="preserve"> que estallaron las h</w:t>
      </w:r>
      <w:r w:rsidR="00644151">
        <w:rPr>
          <w:b/>
          <w:smallCaps/>
          <w:sz w:val="22"/>
          <w:szCs w:val="22"/>
        </w:rPr>
        <w:t>uelgas</w:t>
      </w:r>
    </w:p>
    <w:p w14:paraId="7B838417" w14:textId="44270F3F" w:rsidR="009F4B84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334549D7" w14:textId="2CCC0D36" w:rsidR="00D16784" w:rsidRPr="00F95A40" w:rsidRDefault="00D16784" w:rsidP="009F4B84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2"/>
        </w:rPr>
      </w:pPr>
      <w:r w:rsidRPr="00D16784">
        <w:rPr>
          <w:b/>
          <w:noProof/>
          <w:sz w:val="20"/>
          <w:szCs w:val="22"/>
        </w:rPr>
        <w:drawing>
          <wp:inline distT="0" distB="0" distL="0" distR="0" wp14:anchorId="2B23A5E3" wp14:editId="0F7B3774">
            <wp:extent cx="3962400" cy="2291256"/>
            <wp:effectExtent l="0" t="0" r="0" b="0"/>
            <wp:docPr id="1269879040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79040" name="Imagen 1" descr="Gráfico, Gráfico de barras&#10;&#10;Descripción generada automáticament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7357" cy="229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312DF" w14:textId="0B69D900" w:rsidR="00CC0B56" w:rsidRDefault="001F61D4" w:rsidP="009340B9">
      <w:pPr>
        <w:pStyle w:val="Textoindependiente"/>
        <w:kinsoku w:val="0"/>
        <w:overflowPunct w:val="0"/>
        <w:ind w:left="2410" w:right="1635" w:hanging="567"/>
        <w:rPr>
          <w:sz w:val="16"/>
          <w:szCs w:val="16"/>
        </w:rPr>
      </w:pPr>
      <w:r w:rsidRPr="001F61D4">
        <w:rPr>
          <w:sz w:val="16"/>
          <w:szCs w:val="16"/>
          <w:vertAlign w:val="superscript"/>
        </w:rPr>
        <w:t>1</w:t>
      </w:r>
      <w:r w:rsidR="00FB0B26">
        <w:rPr>
          <w:sz w:val="16"/>
          <w:szCs w:val="16"/>
          <w:vertAlign w:val="superscript"/>
        </w:rPr>
        <w:t>/</w:t>
      </w:r>
      <w:r>
        <w:rPr>
          <w:sz w:val="16"/>
          <w:szCs w:val="16"/>
          <w:vertAlign w:val="superscript"/>
        </w:rPr>
        <w:tab/>
      </w:r>
      <w:r w:rsidR="00CC0B56">
        <w:rPr>
          <w:sz w:val="16"/>
          <w:szCs w:val="16"/>
        </w:rPr>
        <w:t>La suma de los motivos es mayor al total de huelgas estalladas, ya que cada huelga se originó por uno o más motivos.</w:t>
      </w:r>
    </w:p>
    <w:p w14:paraId="166AAD07" w14:textId="1A1F033E" w:rsidR="000F5B5A" w:rsidRDefault="000F5B5A" w:rsidP="009340B9">
      <w:pPr>
        <w:kinsoku w:val="0"/>
        <w:overflowPunct w:val="0"/>
        <w:spacing w:after="240"/>
        <w:ind w:left="2410" w:right="1635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7C7109A1" w14:textId="6A1731BC" w:rsidR="00644151" w:rsidRDefault="00644151" w:rsidP="001D3FF0">
      <w:pPr>
        <w:kinsoku w:val="0"/>
        <w:overflowPunct w:val="0"/>
        <w:spacing w:after="240"/>
        <w:ind w:right="-66"/>
        <w:jc w:val="both"/>
        <w:rPr>
          <w:rFonts w:ascii="Arial" w:eastAsia="Times New Roman" w:hAnsi="Arial" w:cs="Arial"/>
        </w:rPr>
      </w:pPr>
      <w:r w:rsidRPr="004A29E5">
        <w:rPr>
          <w:rFonts w:ascii="Arial" w:eastAsia="Times New Roman" w:hAnsi="Arial" w:cs="Arial"/>
        </w:rPr>
        <w:t xml:space="preserve">El coeficiente de huelga (huelgas estalladas por cada </w:t>
      </w:r>
      <w:r w:rsidR="00E92C30">
        <w:rPr>
          <w:rFonts w:ascii="Arial" w:eastAsia="Times New Roman" w:hAnsi="Arial" w:cs="Arial"/>
        </w:rPr>
        <w:t>mil</w:t>
      </w:r>
      <w:r w:rsidRPr="004A29E5">
        <w:rPr>
          <w:rFonts w:ascii="Arial" w:eastAsia="Times New Roman" w:hAnsi="Arial" w:cs="Arial"/>
        </w:rPr>
        <w:t xml:space="preserve"> emplazamientos) </w:t>
      </w:r>
      <w:r w:rsidR="00F510D7">
        <w:rPr>
          <w:rFonts w:ascii="Arial" w:eastAsia="Times New Roman" w:hAnsi="Arial" w:cs="Arial"/>
        </w:rPr>
        <w:t>incrementó de</w:t>
      </w:r>
      <w:r w:rsidR="000A204D">
        <w:rPr>
          <w:rFonts w:ascii="Arial" w:eastAsia="Times New Roman" w:hAnsi="Arial" w:cs="Arial"/>
        </w:rPr>
        <w:t xml:space="preserve"> 1.</w:t>
      </w:r>
      <w:r w:rsidR="007F531F">
        <w:rPr>
          <w:rFonts w:ascii="Arial" w:eastAsia="Times New Roman" w:hAnsi="Arial" w:cs="Arial"/>
        </w:rPr>
        <w:t>5</w:t>
      </w:r>
      <w:r w:rsidR="006B597A">
        <w:rPr>
          <w:rFonts w:ascii="Arial" w:eastAsia="Times New Roman" w:hAnsi="Arial" w:cs="Arial"/>
        </w:rPr>
        <w:t>,</w:t>
      </w:r>
      <w:r w:rsidR="000A204D">
        <w:rPr>
          <w:rFonts w:ascii="Arial" w:eastAsia="Times New Roman" w:hAnsi="Arial" w:cs="Arial"/>
        </w:rPr>
        <w:t xml:space="preserve"> en 202</w:t>
      </w:r>
      <w:r w:rsidR="007F531F">
        <w:rPr>
          <w:rFonts w:ascii="Arial" w:eastAsia="Times New Roman" w:hAnsi="Arial" w:cs="Arial"/>
        </w:rPr>
        <w:t>1</w:t>
      </w:r>
      <w:r w:rsidR="006B597A">
        <w:rPr>
          <w:rFonts w:ascii="Arial" w:eastAsia="Times New Roman" w:hAnsi="Arial" w:cs="Arial"/>
        </w:rPr>
        <w:t>,</w:t>
      </w:r>
      <w:r w:rsidR="000A204D">
        <w:rPr>
          <w:rFonts w:ascii="Arial" w:eastAsia="Times New Roman" w:hAnsi="Arial" w:cs="Arial"/>
        </w:rPr>
        <w:t xml:space="preserve"> a</w:t>
      </w:r>
      <w:r w:rsidR="00E06962">
        <w:rPr>
          <w:rFonts w:ascii="Arial" w:eastAsia="Times New Roman" w:hAnsi="Arial" w:cs="Arial"/>
        </w:rPr>
        <w:t xml:space="preserve"> </w:t>
      </w:r>
      <w:r w:rsidR="007F531F">
        <w:rPr>
          <w:rFonts w:ascii="Arial" w:eastAsia="Times New Roman" w:hAnsi="Arial" w:cs="Arial"/>
        </w:rPr>
        <w:t>2.9</w:t>
      </w:r>
      <w:r w:rsidR="006B597A">
        <w:rPr>
          <w:rFonts w:ascii="Arial" w:eastAsia="Times New Roman" w:hAnsi="Arial" w:cs="Arial"/>
        </w:rPr>
        <w:t xml:space="preserve"> </w:t>
      </w:r>
      <w:r w:rsidRPr="004A29E5">
        <w:rPr>
          <w:rFonts w:ascii="Arial" w:eastAsia="Times New Roman" w:hAnsi="Arial" w:cs="Arial"/>
        </w:rPr>
        <w:t>en 202</w:t>
      </w:r>
      <w:r w:rsidR="007F531F">
        <w:rPr>
          <w:rFonts w:ascii="Arial" w:eastAsia="Times New Roman" w:hAnsi="Arial" w:cs="Arial"/>
        </w:rPr>
        <w:t>2</w:t>
      </w:r>
      <w:r w:rsidR="000A204D">
        <w:rPr>
          <w:rFonts w:ascii="Arial" w:eastAsia="Times New Roman" w:hAnsi="Arial" w:cs="Arial"/>
        </w:rPr>
        <w:t>.</w:t>
      </w:r>
    </w:p>
    <w:p w14:paraId="14150AD8" w14:textId="5EBE55E5" w:rsidR="00F510D7" w:rsidRDefault="00F510D7" w:rsidP="00056FD6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 w:rsidR="009171C3">
        <w:rPr>
          <w:sz w:val="20"/>
          <w:szCs w:val="20"/>
        </w:rPr>
        <w:t>23</w:t>
      </w:r>
    </w:p>
    <w:p w14:paraId="178B64F2" w14:textId="7999CD30" w:rsidR="00644151" w:rsidRDefault="00644151" w:rsidP="00056FD6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Coeficiente de huelga</w:t>
      </w:r>
    </w:p>
    <w:p w14:paraId="6647C9AE" w14:textId="62EBFD8A" w:rsidR="00FB0B26" w:rsidRPr="00F95A40" w:rsidRDefault="00FB0B26" w:rsidP="00FB0B26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59AC4A57" w14:textId="19D67F51" w:rsidR="00644151" w:rsidRPr="00F95A40" w:rsidRDefault="00644151" w:rsidP="00056FD6">
      <w:pPr>
        <w:pStyle w:val="Textoindependiente"/>
        <w:kinsoku w:val="0"/>
        <w:overflowPunct w:val="0"/>
        <w:ind w:left="0"/>
        <w:jc w:val="center"/>
        <w:rPr>
          <w:sz w:val="18"/>
          <w:szCs w:val="18"/>
        </w:rPr>
      </w:pPr>
      <w:r w:rsidRPr="00F95A40">
        <w:rPr>
          <w:sz w:val="18"/>
          <w:szCs w:val="18"/>
        </w:rPr>
        <w:t>(Huelgas estalladas por cada</w:t>
      </w:r>
      <w:r w:rsidR="000630AF" w:rsidRPr="00F95A40">
        <w:rPr>
          <w:sz w:val="18"/>
          <w:szCs w:val="18"/>
        </w:rPr>
        <w:t xml:space="preserve"> </w:t>
      </w:r>
      <w:r w:rsidR="00AA0260" w:rsidRPr="00F95A40">
        <w:rPr>
          <w:sz w:val="18"/>
          <w:szCs w:val="18"/>
        </w:rPr>
        <w:t>mil</w:t>
      </w:r>
      <w:r w:rsidRPr="00F95A40">
        <w:rPr>
          <w:sz w:val="18"/>
          <w:szCs w:val="18"/>
        </w:rPr>
        <w:t xml:space="preserve"> emplazamientos)</w:t>
      </w:r>
    </w:p>
    <w:p w14:paraId="41ACCED0" w14:textId="7A0CFA6B" w:rsidR="00644151" w:rsidRPr="004A29E5" w:rsidRDefault="00C76A1D" w:rsidP="000D236E">
      <w:pPr>
        <w:keepNext/>
        <w:kinsoku w:val="0"/>
        <w:overflowPunct w:val="0"/>
        <w:jc w:val="center"/>
        <w:rPr>
          <w:rFonts w:ascii="Arial" w:eastAsia="Times New Roman" w:hAnsi="Arial" w:cs="Arial"/>
        </w:rPr>
      </w:pPr>
      <w:r w:rsidRPr="00C76A1D">
        <w:rPr>
          <w:rFonts w:ascii="Arial" w:eastAsia="Times New Roman" w:hAnsi="Arial" w:cs="Arial"/>
          <w:noProof/>
        </w:rPr>
        <w:drawing>
          <wp:inline distT="0" distB="0" distL="0" distR="0" wp14:anchorId="5EEFE50A" wp14:editId="77A8478B">
            <wp:extent cx="6053480" cy="2892287"/>
            <wp:effectExtent l="0" t="0" r="4445" b="3810"/>
            <wp:docPr id="1961171980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71980" name="Imagen 1" descr="Gráfico, Gráfico de barras&#10;&#10;Descripción generada automáticament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09454" cy="291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6C7EC" w14:textId="33A3A19D" w:rsidR="00644151" w:rsidRPr="004A29E5" w:rsidRDefault="000F5B5A" w:rsidP="00AA0260">
      <w:pPr>
        <w:kinsoku w:val="0"/>
        <w:overflowPunct w:val="0"/>
        <w:spacing w:after="240"/>
        <w:ind w:left="709" w:right="504" w:hanging="567"/>
        <w:rPr>
          <w:rFonts w:ascii="Arial" w:hAnsi="Arial" w:cs="Arial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  <w:r w:rsidR="00644151">
        <w:br w:type="page"/>
      </w:r>
    </w:p>
    <w:p w14:paraId="159B87E5" w14:textId="16DBDBC1" w:rsidR="00644151" w:rsidRDefault="00644151" w:rsidP="00FB0B26">
      <w:pPr>
        <w:pStyle w:val="Textoindependiente"/>
        <w:kinsoku w:val="0"/>
        <w:overflowPunct w:val="0"/>
        <w:spacing w:after="120"/>
        <w:ind w:left="0" w:right="-208" w:firstLine="709"/>
        <w:jc w:val="both"/>
        <w:rPr>
          <w:rFonts w:ascii="Arial Negrita" w:hAnsi="Arial Negrita"/>
          <w:b/>
        </w:rPr>
      </w:pPr>
      <w:r w:rsidRPr="00F95A40">
        <w:rPr>
          <w:rFonts w:ascii="Arial Negrita" w:hAnsi="Arial Negrita"/>
          <w:b/>
        </w:rPr>
        <w:lastRenderedPageBreak/>
        <w:t>Huelgas solucionadas</w:t>
      </w:r>
    </w:p>
    <w:p w14:paraId="5E713804" w14:textId="77777777" w:rsidR="00FB0B26" w:rsidRPr="00F95A40" w:rsidRDefault="00FB0B26" w:rsidP="00F95A40">
      <w:pPr>
        <w:pStyle w:val="Textoindependiente"/>
        <w:kinsoku w:val="0"/>
        <w:overflowPunct w:val="0"/>
        <w:ind w:left="0" w:right="-210" w:firstLine="709"/>
        <w:jc w:val="both"/>
        <w:rPr>
          <w:rFonts w:ascii="Arial Negrita" w:hAnsi="Arial Negrita"/>
          <w:b/>
        </w:rPr>
      </w:pPr>
    </w:p>
    <w:p w14:paraId="0AB922DA" w14:textId="1A8D8A59" w:rsidR="0067521F" w:rsidRDefault="0067521F" w:rsidP="001D3FF0">
      <w:pPr>
        <w:pStyle w:val="Textoindependiente"/>
        <w:kinsoku w:val="0"/>
        <w:overflowPunct w:val="0"/>
        <w:ind w:left="0" w:right="-66"/>
        <w:jc w:val="both"/>
      </w:pPr>
      <w:r>
        <w:t>E</w:t>
      </w:r>
      <w:r w:rsidR="00F510D7">
        <w:t xml:space="preserve">n </w:t>
      </w:r>
      <w:r>
        <w:t>202</w:t>
      </w:r>
      <w:r w:rsidR="00895934">
        <w:t>2</w:t>
      </w:r>
      <w:r>
        <w:t xml:space="preserve"> </w:t>
      </w:r>
      <w:r w:rsidR="00F510D7">
        <w:t>se solucionaron</w:t>
      </w:r>
      <w:r>
        <w:t xml:space="preserve"> </w:t>
      </w:r>
      <w:r w:rsidR="007F531F">
        <w:t>siete</w:t>
      </w:r>
      <w:r>
        <w:t xml:space="preserve"> </w:t>
      </w:r>
      <w:r w:rsidR="00F510D7">
        <w:t>huelgas</w:t>
      </w:r>
      <w:r w:rsidR="00E92C30">
        <w:t>. D</w:t>
      </w:r>
      <w:r>
        <w:t xml:space="preserve">e </w:t>
      </w:r>
      <w:r w:rsidR="00D00066">
        <w:t>estas</w:t>
      </w:r>
      <w:r>
        <w:t xml:space="preserve">, </w:t>
      </w:r>
      <w:r w:rsidR="00E5400A">
        <w:t>c</w:t>
      </w:r>
      <w:r w:rsidR="007F531F">
        <w:t>inco</w:t>
      </w:r>
      <w:r w:rsidR="00E5400A">
        <w:t xml:space="preserve"> </w:t>
      </w:r>
      <w:r w:rsidR="006507E0">
        <w:t>fueron por</w:t>
      </w:r>
      <w:r>
        <w:t xml:space="preserve"> </w:t>
      </w:r>
      <w:r w:rsidR="007F531F">
        <w:t>convenio</w:t>
      </w:r>
      <w:r w:rsidR="00E048FE">
        <w:t>,</w:t>
      </w:r>
      <w:r w:rsidR="001346E9">
        <w:t xml:space="preserve"> </w:t>
      </w:r>
      <w:r w:rsidR="007F531F">
        <w:t xml:space="preserve">una </w:t>
      </w:r>
      <w:r>
        <w:t xml:space="preserve">por </w:t>
      </w:r>
      <w:r w:rsidR="006D5067">
        <w:t xml:space="preserve">sentencia </w:t>
      </w:r>
      <w:r>
        <w:t xml:space="preserve">y </w:t>
      </w:r>
      <w:r w:rsidR="00E048FE">
        <w:t xml:space="preserve">otra por </w:t>
      </w:r>
      <w:r w:rsidR="00457F3C">
        <w:t>d</w:t>
      </w:r>
      <w:r w:rsidR="007F531F">
        <w:t>esistimiento</w:t>
      </w:r>
      <w:r>
        <w:t>.</w:t>
      </w:r>
    </w:p>
    <w:p w14:paraId="54225B8C" w14:textId="77777777" w:rsidR="000D28D1" w:rsidRDefault="000D28D1" w:rsidP="00B1622A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</w:p>
    <w:p w14:paraId="4979BD10" w14:textId="40204CFB" w:rsidR="00056FD6" w:rsidRDefault="00F510D7" w:rsidP="00B1622A">
      <w:pPr>
        <w:pStyle w:val="Textoindependiente"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t xml:space="preserve">Gráfica </w:t>
      </w:r>
      <w:r w:rsidR="00056FD6">
        <w:rPr>
          <w:sz w:val="20"/>
          <w:szCs w:val="20"/>
        </w:rPr>
        <w:t>2</w:t>
      </w:r>
      <w:r w:rsidR="009171C3">
        <w:rPr>
          <w:sz w:val="20"/>
          <w:szCs w:val="20"/>
        </w:rPr>
        <w:t>4</w:t>
      </w:r>
    </w:p>
    <w:p w14:paraId="2FB1FD26" w14:textId="05272316" w:rsidR="00644151" w:rsidRPr="006973BD" w:rsidRDefault="00644151" w:rsidP="00B1622A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Huelgas solucionadas</w:t>
      </w:r>
    </w:p>
    <w:p w14:paraId="5A4955EC" w14:textId="4FAB2AC3" w:rsidR="00644151" w:rsidRPr="00F95A40" w:rsidRDefault="009F4B84" w:rsidP="009F4B84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2022</w:t>
      </w:r>
    </w:p>
    <w:p w14:paraId="00648CF0" w14:textId="185E05CC" w:rsidR="007C0016" w:rsidRDefault="007C0016" w:rsidP="009F4B84">
      <w:pPr>
        <w:pStyle w:val="Textoindependiente"/>
        <w:keepNext/>
        <w:kinsoku w:val="0"/>
        <w:overflowPunct w:val="0"/>
        <w:ind w:left="0"/>
        <w:jc w:val="center"/>
      </w:pPr>
      <w:r w:rsidRPr="007C0016">
        <w:rPr>
          <w:noProof/>
        </w:rPr>
        <w:drawing>
          <wp:inline distT="0" distB="0" distL="0" distR="0" wp14:anchorId="6A113022" wp14:editId="06D503F5">
            <wp:extent cx="6261100" cy="2786449"/>
            <wp:effectExtent l="0" t="0" r="6350" b="0"/>
            <wp:docPr id="285119461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19461" name="Imagen 1" descr="Gráfico, Gráfico de barras&#10;&#10;Descripción generada automáticamente"/>
                    <pic:cNvPicPr/>
                  </pic:nvPicPr>
                  <pic:blipFill rotWithShape="1">
                    <a:blip r:embed="rId33"/>
                    <a:srcRect b="8371"/>
                    <a:stretch/>
                  </pic:blipFill>
                  <pic:spPr bwMode="auto">
                    <a:xfrm>
                      <a:off x="0" y="0"/>
                      <a:ext cx="6261100" cy="2786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D1310" w14:textId="17892A72" w:rsidR="00AA0260" w:rsidRDefault="00AA0260" w:rsidP="00AA0260">
      <w:pPr>
        <w:kinsoku w:val="0"/>
        <w:overflowPunct w:val="0"/>
        <w:spacing w:before="60"/>
        <w:ind w:left="709" w:right="505" w:hanging="56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Nota:</w:t>
      </w:r>
      <w:r>
        <w:rPr>
          <w:rFonts w:ascii="Arial" w:eastAsia="Times New Roman" w:hAnsi="Arial" w:cs="Arial"/>
          <w:sz w:val="16"/>
          <w:szCs w:val="16"/>
        </w:rPr>
        <w:tab/>
        <w:t>La solución de las huelgas puede no coincidir con el año de estallamiento.</w:t>
      </w:r>
    </w:p>
    <w:p w14:paraId="358E2DC1" w14:textId="517334C6" w:rsidR="003B315E" w:rsidRDefault="003B315E" w:rsidP="0018243B">
      <w:pPr>
        <w:kinsoku w:val="0"/>
        <w:overflowPunct w:val="0"/>
        <w:spacing w:after="240"/>
        <w:ind w:left="709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4BBC6619" w14:textId="77777777" w:rsidR="00C81D65" w:rsidRPr="00B57FAC" w:rsidRDefault="00C81D65" w:rsidP="00F95A40">
      <w:pPr>
        <w:kinsoku w:val="0"/>
        <w:overflowPunct w:val="0"/>
        <w:ind w:left="709" w:right="505" w:hanging="567"/>
        <w:rPr>
          <w:rFonts w:ascii="Arial" w:eastAsia="Times New Roman" w:hAnsi="Arial" w:cs="Arial"/>
          <w:sz w:val="16"/>
          <w:szCs w:val="16"/>
        </w:rPr>
      </w:pPr>
    </w:p>
    <w:p w14:paraId="30FBE4B6" w14:textId="5CA8FF97" w:rsidR="00E92C30" w:rsidRPr="00AA0260" w:rsidRDefault="00C52B3D" w:rsidP="001D3FF0">
      <w:pPr>
        <w:pStyle w:val="Textoindependiente"/>
        <w:kinsoku w:val="0"/>
        <w:overflowPunct w:val="0"/>
        <w:ind w:left="0" w:right="-66"/>
        <w:jc w:val="both"/>
        <w:rPr>
          <w:spacing w:val="-2"/>
        </w:rPr>
      </w:pPr>
      <w:r>
        <w:rPr>
          <w:rStyle w:val="ui-provider"/>
        </w:rPr>
        <w:t>En 2022, 66.7 % de las huelgas estalladas tuvieron solución; est</w:t>
      </w:r>
      <w:r w:rsidR="00A8056F">
        <w:rPr>
          <w:rStyle w:val="ui-provider"/>
        </w:rPr>
        <w:t>e porcentaje</w:t>
      </w:r>
      <w:r>
        <w:rPr>
          <w:rStyle w:val="ui-provider"/>
        </w:rPr>
        <w:t xml:space="preserve"> en 2021 fue de 15.8 %; en 2020</w:t>
      </w:r>
      <w:r w:rsidR="00740CCA">
        <w:rPr>
          <w:rStyle w:val="ui-provider"/>
        </w:rPr>
        <w:t>,</w:t>
      </w:r>
      <w:r>
        <w:rPr>
          <w:rStyle w:val="ui-provider"/>
        </w:rPr>
        <w:t xml:space="preserve"> de 13.3 % y en 2019</w:t>
      </w:r>
      <w:r w:rsidR="00740CCA">
        <w:rPr>
          <w:rStyle w:val="ui-provider"/>
        </w:rPr>
        <w:t>,</w:t>
      </w:r>
      <w:r>
        <w:rPr>
          <w:rStyle w:val="ui-provider"/>
        </w:rPr>
        <w:t xml:space="preserve"> de 61.8 por ciento. Para las siete huelgas solucionadas en 2022, seis de ellas estallaron durante el mismo año y una en 2021.</w:t>
      </w:r>
    </w:p>
    <w:p w14:paraId="25C1FF1E" w14:textId="4A81F17C" w:rsidR="00644151" w:rsidRPr="004A517A" w:rsidRDefault="00644151" w:rsidP="00B1622A">
      <w:pPr>
        <w:widowControl/>
        <w:autoSpaceDE/>
        <w:autoSpaceDN/>
        <w:adjustRightInd/>
        <w:jc w:val="both"/>
      </w:pPr>
    </w:p>
    <w:p w14:paraId="67BB6366" w14:textId="5E230EC2" w:rsidR="00F510D7" w:rsidRDefault="00F510D7" w:rsidP="00B1622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084797">
        <w:rPr>
          <w:sz w:val="20"/>
          <w:szCs w:val="20"/>
        </w:rPr>
        <w:lastRenderedPageBreak/>
        <w:t xml:space="preserve">Gráfica </w:t>
      </w:r>
      <w:r>
        <w:rPr>
          <w:sz w:val="20"/>
          <w:szCs w:val="20"/>
        </w:rPr>
        <w:t>2</w:t>
      </w:r>
      <w:r w:rsidR="009171C3">
        <w:rPr>
          <w:sz w:val="20"/>
          <w:szCs w:val="20"/>
        </w:rPr>
        <w:t>5</w:t>
      </w:r>
    </w:p>
    <w:p w14:paraId="1E64F61F" w14:textId="4157C7E7" w:rsidR="00644151" w:rsidRDefault="00644151" w:rsidP="00B1622A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Huelgas estalladas y solucionadas en el mismo año</w:t>
      </w:r>
    </w:p>
    <w:p w14:paraId="03E48649" w14:textId="60B2EEA1" w:rsidR="009F4B84" w:rsidRPr="00F95A40" w:rsidRDefault="00387A87" w:rsidP="00B1622A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2"/>
        </w:rPr>
      </w:pPr>
      <w:r w:rsidRPr="00F95A40">
        <w:rPr>
          <w:bCs/>
          <w:sz w:val="20"/>
          <w:szCs w:val="18"/>
        </w:rPr>
        <w:t>2015-</w:t>
      </w:r>
      <w:r w:rsidR="009F4B84" w:rsidRPr="00F95A40">
        <w:rPr>
          <w:bCs/>
          <w:sz w:val="20"/>
          <w:szCs w:val="18"/>
        </w:rPr>
        <w:t>2022</w:t>
      </w:r>
    </w:p>
    <w:p w14:paraId="5F9CBDCF" w14:textId="025CDDE3" w:rsidR="00D20ACF" w:rsidRPr="006973BD" w:rsidRDefault="00237DCE" w:rsidP="004A29E5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237DCE">
        <w:rPr>
          <w:b/>
          <w:smallCaps/>
          <w:noProof/>
          <w:sz w:val="22"/>
          <w:szCs w:val="22"/>
        </w:rPr>
        <w:drawing>
          <wp:inline distT="0" distB="0" distL="0" distR="0" wp14:anchorId="3FB8F7F3" wp14:editId="55104896">
            <wp:extent cx="5804452" cy="3408680"/>
            <wp:effectExtent l="0" t="0" r="6350" b="1270"/>
            <wp:docPr id="517323416" name="Imagen 1" descr="Gráfico, Gráfico de barr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23416" name="Imagen 1" descr="Gráfico, Gráfico de barras, Histograma&#10;&#10;Descripción generada automáticament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12215" cy="341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CDDE3" w14:textId="08491423" w:rsidR="003B315E" w:rsidRDefault="003B315E" w:rsidP="00AA0260">
      <w:pPr>
        <w:kinsoku w:val="0"/>
        <w:overflowPunct w:val="0"/>
        <w:spacing w:after="240"/>
        <w:ind w:left="1134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 w:rsidR="00387A87">
        <w:rPr>
          <w:rFonts w:ascii="Arial" w:eastAsia="Times New Roman" w:hAnsi="Arial" w:cs="Arial"/>
          <w:sz w:val="16"/>
          <w:szCs w:val="16"/>
        </w:rPr>
        <w:t xml:space="preserve">2015 a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76962BFF" w14:textId="537ADFF3" w:rsidR="00A961EE" w:rsidRDefault="00A961EE" w:rsidP="00AA0260">
      <w:pPr>
        <w:kinsoku w:val="0"/>
        <w:overflowPunct w:val="0"/>
        <w:spacing w:after="240"/>
        <w:ind w:left="1134" w:right="504" w:hanging="567"/>
        <w:rPr>
          <w:rFonts w:ascii="Arial" w:eastAsia="Times New Roman" w:hAnsi="Arial" w:cs="Arial"/>
          <w:sz w:val="16"/>
          <w:szCs w:val="16"/>
        </w:rPr>
      </w:pPr>
    </w:p>
    <w:p w14:paraId="2BEE5BF3" w14:textId="416D9109" w:rsidR="00A961EE" w:rsidRDefault="00C81D65" w:rsidP="00C81D65">
      <w:pPr>
        <w:kinsoku w:val="0"/>
        <w:overflowPunct w:val="0"/>
        <w:spacing w:after="240"/>
        <w:ind w:right="504"/>
        <w:rPr>
          <w:rStyle w:val="Hipervnculo"/>
          <w:rFonts w:ascii="Arial" w:hAnsi="Arial" w:cs="Arial"/>
        </w:rPr>
      </w:pPr>
      <w:r w:rsidRPr="00F95A40">
        <w:rPr>
          <w:rFonts w:ascii="Arial" w:hAnsi="Arial" w:cs="Arial"/>
        </w:rPr>
        <w:t>L</w:t>
      </w:r>
      <w:r w:rsidR="00A961EE" w:rsidRPr="00F95A40">
        <w:rPr>
          <w:rFonts w:ascii="Arial" w:hAnsi="Arial" w:cs="Arial"/>
        </w:rPr>
        <w:t xml:space="preserve">a información </w:t>
      </w:r>
      <w:r w:rsidRPr="00F95A40">
        <w:rPr>
          <w:rFonts w:ascii="Arial" w:hAnsi="Arial" w:cs="Arial"/>
        </w:rPr>
        <w:t xml:space="preserve">de las ERLAJUL puede consultarse en: </w:t>
      </w:r>
      <w:hyperlink r:id="rId35" w:history="1">
        <w:r w:rsidR="00A961EE" w:rsidRPr="00F95A40">
          <w:rPr>
            <w:rStyle w:val="Hipervnculo"/>
            <w:rFonts w:ascii="Arial" w:hAnsi="Arial" w:cs="Arial"/>
          </w:rPr>
          <w:t>https://www.inegi.org.mx/programas/rellaborales/</w:t>
        </w:r>
      </w:hyperlink>
    </w:p>
    <w:p w14:paraId="2361D9F7" w14:textId="00EC6D99" w:rsidR="00B52713" w:rsidRDefault="00B52713" w:rsidP="00C81D65">
      <w:pPr>
        <w:kinsoku w:val="0"/>
        <w:overflowPunct w:val="0"/>
        <w:spacing w:after="240"/>
        <w:ind w:right="504"/>
        <w:rPr>
          <w:rStyle w:val="Hipervnculo"/>
          <w:rFonts w:ascii="Arial" w:hAnsi="Arial" w:cs="Arial"/>
        </w:rPr>
      </w:pPr>
    </w:p>
    <w:p w14:paraId="09352A67" w14:textId="58659A34" w:rsidR="00B52713" w:rsidRDefault="00B52713" w:rsidP="00C81D65">
      <w:pPr>
        <w:kinsoku w:val="0"/>
        <w:overflowPunct w:val="0"/>
        <w:spacing w:after="240"/>
        <w:ind w:right="504"/>
        <w:rPr>
          <w:rStyle w:val="Hipervnculo"/>
          <w:rFonts w:ascii="Arial" w:hAnsi="Arial" w:cs="Arial"/>
        </w:rPr>
      </w:pPr>
    </w:p>
    <w:p w14:paraId="6BB8E2A3" w14:textId="77777777" w:rsidR="00B52713" w:rsidRPr="00F95A40" w:rsidRDefault="00B52713" w:rsidP="00B52713">
      <w:pPr>
        <w:ind w:left="-567" w:right="-660"/>
        <w:jc w:val="center"/>
        <w:rPr>
          <w:rFonts w:ascii="Arial" w:hAnsi="Arial" w:cs="Arial"/>
        </w:rPr>
      </w:pPr>
      <w:r w:rsidRPr="00F95A40">
        <w:rPr>
          <w:rFonts w:ascii="Arial" w:hAnsi="Arial" w:cs="Arial"/>
        </w:rPr>
        <w:t xml:space="preserve">Para consultas de medios y periodistas, escribir a: </w:t>
      </w:r>
      <w:hyperlink r:id="rId36" w:history="1">
        <w:r w:rsidRPr="00F95A40">
          <w:rPr>
            <w:rStyle w:val="Hipervnculo"/>
            <w:rFonts w:ascii="Arial" w:hAnsi="Arial" w:cs="Arial"/>
          </w:rPr>
          <w:t>comunicacionsocial@inegi.org.mx</w:t>
        </w:r>
      </w:hyperlink>
    </w:p>
    <w:p w14:paraId="2EDB6B3F" w14:textId="650B2E65" w:rsidR="00B52713" w:rsidRPr="00F95A40" w:rsidRDefault="00B52713" w:rsidP="00B52713">
      <w:pPr>
        <w:ind w:left="-567" w:right="-660"/>
        <w:jc w:val="center"/>
        <w:rPr>
          <w:rFonts w:ascii="Arial" w:hAnsi="Arial" w:cs="Arial"/>
        </w:rPr>
      </w:pPr>
      <w:r w:rsidRPr="00F95A40">
        <w:rPr>
          <w:rFonts w:ascii="Arial" w:hAnsi="Arial" w:cs="Arial"/>
        </w:rPr>
        <w:t xml:space="preserve">o llamar al teléfono (55) 52-78-10-00, </w:t>
      </w:r>
      <w:proofErr w:type="spellStart"/>
      <w:r w:rsidRPr="00F95A40">
        <w:rPr>
          <w:rFonts w:ascii="Arial" w:hAnsi="Arial" w:cs="Arial"/>
        </w:rPr>
        <w:t>exts</w:t>
      </w:r>
      <w:proofErr w:type="spellEnd"/>
      <w:r w:rsidRPr="00F95A40">
        <w:rPr>
          <w:rFonts w:ascii="Arial" w:hAnsi="Arial" w:cs="Arial"/>
        </w:rPr>
        <w:t>. 321064, 321134 y 321241</w:t>
      </w:r>
    </w:p>
    <w:p w14:paraId="32AE163F" w14:textId="77777777" w:rsidR="00B52713" w:rsidRPr="00F95A40" w:rsidRDefault="00B52713" w:rsidP="00B52713">
      <w:pPr>
        <w:ind w:left="-567" w:right="-660"/>
        <w:jc w:val="center"/>
        <w:rPr>
          <w:rFonts w:ascii="Arial" w:hAnsi="Arial" w:cs="Arial"/>
        </w:rPr>
      </w:pPr>
    </w:p>
    <w:p w14:paraId="5B9837DE" w14:textId="77777777" w:rsidR="00B52713" w:rsidRPr="00F95A40" w:rsidRDefault="00B52713" w:rsidP="00B52713">
      <w:pPr>
        <w:ind w:left="-567" w:right="-660"/>
        <w:jc w:val="center"/>
        <w:rPr>
          <w:rFonts w:ascii="Arial" w:hAnsi="Arial" w:cs="Arial"/>
        </w:rPr>
      </w:pPr>
      <w:r w:rsidRPr="00F95A40">
        <w:rPr>
          <w:rFonts w:ascii="Arial" w:hAnsi="Arial" w:cs="Arial"/>
        </w:rPr>
        <w:t>Dirección de Atención a Medios/ Dirección General Adjunta de Comunicación</w:t>
      </w:r>
    </w:p>
    <w:p w14:paraId="79A41656" w14:textId="77777777" w:rsidR="00B52713" w:rsidRPr="00ED1A03" w:rsidRDefault="00B52713" w:rsidP="00B52713"/>
    <w:p w14:paraId="26F9E784" w14:textId="77777777" w:rsidR="00B52713" w:rsidRPr="00FB7B7A" w:rsidRDefault="00B52713" w:rsidP="00B52713">
      <w:pPr>
        <w:rPr>
          <w:sz w:val="20"/>
          <w:szCs w:val="20"/>
        </w:rPr>
      </w:pPr>
    </w:p>
    <w:p w14:paraId="5C33799C" w14:textId="77777777" w:rsidR="00B52713" w:rsidRPr="00FB7B7A" w:rsidRDefault="00B52713" w:rsidP="00B52713">
      <w:pPr>
        <w:ind w:left="1416"/>
        <w:contextualSpacing/>
        <w:rPr>
          <w:sz w:val="20"/>
          <w:szCs w:val="20"/>
        </w:rPr>
      </w:pPr>
    </w:p>
    <w:p w14:paraId="5C16F239" w14:textId="77777777" w:rsidR="00B52713" w:rsidRDefault="00B52713" w:rsidP="00B52713">
      <w:pPr>
        <w:kinsoku w:val="0"/>
        <w:overflowPunct w:val="0"/>
        <w:spacing w:after="240"/>
        <w:ind w:right="504"/>
        <w:rPr>
          <w:noProof/>
          <w:sz w:val="20"/>
        </w:rPr>
        <w:sectPr w:rsidR="00B52713" w:rsidSect="00E81925">
          <w:headerReference w:type="default" r:id="rId37"/>
          <w:footerReference w:type="default" r:id="rId38"/>
          <w:pgSz w:w="12240" w:h="15840"/>
          <w:pgMar w:top="1985" w:right="1467" w:bottom="800" w:left="1200" w:header="267" w:footer="614" w:gutter="0"/>
          <w:cols w:space="720" w:equalWidth="0">
            <w:col w:w="9820"/>
          </w:cols>
          <w:noEndnote/>
        </w:sectPr>
      </w:pPr>
      <w:r>
        <w:rPr>
          <w:noProof/>
          <w:sz w:val="20"/>
        </w:rPr>
        <w:t xml:space="preserve">                                            </w:t>
      </w:r>
      <w:r w:rsidRPr="008F0992">
        <w:rPr>
          <w:noProof/>
          <w:sz w:val="20"/>
        </w:rPr>
        <w:drawing>
          <wp:inline distT="0" distB="0" distL="0" distR="0" wp14:anchorId="054B1341" wp14:editId="2C2E5FA9">
            <wp:extent cx="318472" cy="322419"/>
            <wp:effectExtent l="0" t="0" r="5715" b="1905"/>
            <wp:docPr id="11" name="Imagen 11" descr="C:\Users\saladeprensa\Desktop\NVOS LOGOS\F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deprensa\Desktop\NVOS LOGOS\F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2" cy="32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</w:t>
      </w:r>
      <w:r w:rsidRPr="008F0992">
        <w:rPr>
          <w:noProof/>
          <w:sz w:val="20"/>
        </w:rPr>
        <w:drawing>
          <wp:inline distT="0" distB="0" distL="0" distR="0" wp14:anchorId="0A188EF8" wp14:editId="6B3178E3">
            <wp:extent cx="327704" cy="325467"/>
            <wp:effectExtent l="0" t="0" r="0" b="0"/>
            <wp:docPr id="31" name="Imagen 31" descr="C:\Users\saladeprensa\Desktop\NVOS LOGOS\I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deprensa\Desktop\NVOS LOGOS\I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0" cy="44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</w:t>
      </w:r>
      <w:r w:rsidRPr="008F0992">
        <w:rPr>
          <w:noProof/>
          <w:sz w:val="20"/>
        </w:rPr>
        <w:drawing>
          <wp:inline distT="0" distB="0" distL="0" distR="0" wp14:anchorId="63F79087" wp14:editId="2B7072D2">
            <wp:extent cx="321276" cy="324093"/>
            <wp:effectExtent l="0" t="0" r="3175" b="0"/>
            <wp:docPr id="21" name="Imagen 21" descr="C:\Users\saladeprensa\Desktop\NVOS LOGOS\T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deprensa\Desktop\NVOS LOGOS\T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2" cy="3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</w:t>
      </w:r>
      <w:r w:rsidRPr="008F0992">
        <w:rPr>
          <w:noProof/>
          <w:sz w:val="20"/>
        </w:rPr>
        <w:drawing>
          <wp:inline distT="0" distB="0" distL="0" distR="0" wp14:anchorId="13F1ABB9" wp14:editId="39558BFC">
            <wp:extent cx="321276" cy="326574"/>
            <wp:effectExtent l="0" t="0" r="3175" b="0"/>
            <wp:docPr id="32" name="Imagen 32" descr="C:\Users\saladeprensa\Desktop\NVOS LOGOS\Y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deprensa\Desktop\NVOS LOGOS\Y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02" cy="37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 w:rsidRPr="008F0992">
        <w:rPr>
          <w:noProof/>
          <w:sz w:val="14"/>
          <w:szCs w:val="18"/>
        </w:rPr>
        <w:drawing>
          <wp:inline distT="0" distB="0" distL="0" distR="0" wp14:anchorId="21E809BB" wp14:editId="5DCA13D6">
            <wp:extent cx="2323070" cy="319707"/>
            <wp:effectExtent l="0" t="0" r="1270" b="4445"/>
            <wp:docPr id="23" name="Imagen 23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23" cy="3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D783" w14:textId="6CDC7961" w:rsidR="00644151" w:rsidRDefault="00644151" w:rsidP="00EA3CA2">
      <w:pPr>
        <w:ind w:right="-103"/>
        <w:jc w:val="center"/>
        <w:rPr>
          <w:rFonts w:ascii="Arial" w:eastAsia="Calibri" w:hAnsi="Arial" w:cs="Arial"/>
          <w:b/>
          <w:lang w:val="es-ES" w:eastAsia="en-US"/>
        </w:rPr>
      </w:pPr>
      <w:r w:rsidRPr="00644151">
        <w:rPr>
          <w:rFonts w:ascii="Arial" w:eastAsia="Calibri" w:hAnsi="Arial" w:cs="Arial"/>
          <w:b/>
          <w:lang w:val="es-ES" w:eastAsia="en-US"/>
        </w:rPr>
        <w:lastRenderedPageBreak/>
        <w:t>NOTA TÉCNICA</w:t>
      </w:r>
    </w:p>
    <w:p w14:paraId="61295EF8" w14:textId="77777777" w:rsidR="00EA3CA2" w:rsidRPr="00644151" w:rsidRDefault="00EA3CA2" w:rsidP="00F95A40">
      <w:pPr>
        <w:ind w:right="-103"/>
        <w:jc w:val="center"/>
        <w:rPr>
          <w:rFonts w:ascii="Arial" w:eastAsia="Calibri" w:hAnsi="Arial" w:cs="Arial"/>
          <w:b/>
          <w:lang w:val="es-ES" w:eastAsia="en-US"/>
        </w:rPr>
      </w:pPr>
    </w:p>
    <w:p w14:paraId="485E1E0E" w14:textId="3256B152" w:rsidR="00303978" w:rsidRDefault="00303978" w:rsidP="00EA3CA2">
      <w:pPr>
        <w:pStyle w:val="Textoindependiente"/>
        <w:kinsoku w:val="0"/>
        <w:overflowPunct w:val="0"/>
        <w:ind w:left="0" w:right="-103"/>
        <w:jc w:val="both"/>
      </w:pPr>
      <w:r w:rsidRPr="006B0992">
        <w:t xml:space="preserve">El desarrollo económico y social del país se sustenta cada vez más en el uso de información estadística oportuna y confiable, por lo que el quehacer estadístico reviste mayor importancia. En este sentido, las </w:t>
      </w:r>
      <w:r w:rsidR="003070B5" w:rsidRPr="006B0992">
        <w:t>E</w:t>
      </w:r>
      <w:r w:rsidR="00B52713">
        <w:t>RLAJUL</w:t>
      </w:r>
      <w:r w:rsidRPr="006B0992">
        <w:t>, basadas en registros administrativos, aportan distintos indicadores para caracterizar los diferentes momentos de la negociación laboral</w:t>
      </w:r>
      <w:r w:rsidR="002266BF">
        <w:t xml:space="preserve"> que se da para resolver diversos conflictos laborales en el ámbito de las entidades federativas</w:t>
      </w:r>
      <w:r w:rsidRPr="006B0992">
        <w:t>.</w:t>
      </w:r>
    </w:p>
    <w:p w14:paraId="428EADC1" w14:textId="77777777" w:rsidR="00EA3CA2" w:rsidRPr="006B0992" w:rsidRDefault="00EA3CA2" w:rsidP="00F95A40">
      <w:pPr>
        <w:pStyle w:val="Textoindependiente"/>
        <w:kinsoku w:val="0"/>
        <w:overflowPunct w:val="0"/>
        <w:ind w:left="0" w:right="-103"/>
        <w:jc w:val="both"/>
      </w:pPr>
    </w:p>
    <w:p w14:paraId="3E2D2A41" w14:textId="7D4A59BB" w:rsidR="00EB383D" w:rsidRDefault="00303978" w:rsidP="00EA3CA2">
      <w:pPr>
        <w:pStyle w:val="Textoindependiente"/>
        <w:kinsoku w:val="0"/>
        <w:overflowPunct w:val="0"/>
        <w:ind w:left="0" w:right="-103"/>
        <w:jc w:val="both"/>
      </w:pPr>
      <w:r w:rsidRPr="00C71B02">
        <w:t xml:space="preserve">Actualmente, las </w:t>
      </w:r>
      <w:r w:rsidR="00E92C30" w:rsidRPr="00C71B02">
        <w:t xml:space="preserve">estadísticas </w:t>
      </w:r>
      <w:r w:rsidRPr="00C71B02">
        <w:t>citadas que genera el Instituto comprenden los eventos derivados de la negociación laboral</w:t>
      </w:r>
      <w:r w:rsidR="00E92C30" w:rsidRPr="00C71B02">
        <w:t xml:space="preserve">. Estas </w:t>
      </w:r>
      <w:r w:rsidRPr="00C71B02">
        <w:t>se obtienen del aprovechamiento de los registros administrativos de las Juntas Locales de Conciliación y Arbitraje</w:t>
      </w:r>
      <w:r w:rsidR="00B52713">
        <w:t>. A</w:t>
      </w:r>
      <w:r w:rsidRPr="00C71B02">
        <w:t xml:space="preserve"> partir de la implementación de la Reforma Laboral del </w:t>
      </w:r>
      <w:r w:rsidR="002621DC" w:rsidRPr="00C71B02">
        <w:t>primero</w:t>
      </w:r>
      <w:r w:rsidRPr="00C71B02">
        <w:t xml:space="preserve"> de mayo de 2019, se incorpora</w:t>
      </w:r>
      <w:r w:rsidR="00DE4BC2" w:rsidRPr="00C71B02">
        <w:t>ro</w:t>
      </w:r>
      <w:r w:rsidRPr="00C71B02">
        <w:t xml:space="preserve">n los </w:t>
      </w:r>
      <w:r w:rsidR="00735542" w:rsidRPr="00C71B02">
        <w:t xml:space="preserve">registros </w:t>
      </w:r>
      <w:r w:rsidRPr="00C71B02">
        <w:t xml:space="preserve">de los Centros de Conciliación Laboral </w:t>
      </w:r>
      <w:r w:rsidR="00B52713">
        <w:t>l</w:t>
      </w:r>
      <w:r w:rsidRPr="00C71B02">
        <w:t xml:space="preserve">ocales y de los Tribunales Laborales </w:t>
      </w:r>
      <w:r w:rsidR="00B52713">
        <w:t>l</w:t>
      </w:r>
      <w:r w:rsidRPr="00C71B02">
        <w:t xml:space="preserve">ocales que iniciaron operaciones </w:t>
      </w:r>
      <w:r w:rsidR="00B52713">
        <w:t>a partir de</w:t>
      </w:r>
      <w:r w:rsidRPr="00C71B02">
        <w:t>l 18 de noviembre de 2020</w:t>
      </w:r>
      <w:r w:rsidR="00E92C30" w:rsidRPr="00C71B02">
        <w:t>. En</w:t>
      </w:r>
      <w:r w:rsidRPr="00C71B02">
        <w:t xml:space="preserve"> la primera etapa</w:t>
      </w:r>
      <w:r w:rsidR="00E92C30" w:rsidRPr="00C71B02">
        <w:t xml:space="preserve">, comenzaron </w:t>
      </w:r>
      <w:r w:rsidRPr="00C71B02">
        <w:t xml:space="preserve">siete entidades federativas: Campeche, Chiapas, Durango, México, San Luis Potosí, Tabasco y Zacatecas. </w:t>
      </w:r>
      <w:r w:rsidR="006D5067" w:rsidRPr="00C71B02">
        <w:t xml:space="preserve">En una segunda, en noviembre de 2021, </w:t>
      </w:r>
      <w:r w:rsidR="002266BF" w:rsidRPr="00C71B02">
        <w:t xml:space="preserve">se incorporaron </w:t>
      </w:r>
      <w:r w:rsidR="00B52713">
        <w:t>1</w:t>
      </w:r>
      <w:r w:rsidR="009F0356">
        <w:t>2</w:t>
      </w:r>
      <w:r w:rsidR="006D5067" w:rsidRPr="00C71B02">
        <w:t xml:space="preserve"> entidades federativas: </w:t>
      </w:r>
      <w:r w:rsidR="006D5067" w:rsidRPr="00002144">
        <w:rPr>
          <w:rFonts w:eastAsia="+mn-ea"/>
          <w:kern w:val="24"/>
        </w:rPr>
        <w:t xml:space="preserve">Aguascalientes, Colima, Guanajuato, Hidalgo, Morelos, Oaxaca, Puebla, Querétaro, Tlaxcala, </w:t>
      </w:r>
      <w:r w:rsidR="006D5067" w:rsidRPr="00C71B02">
        <w:t>Veracruz de Ignacio de la Llave</w:t>
      </w:r>
      <w:r w:rsidR="00CB5ACD">
        <w:rPr>
          <w:rFonts w:eastAsia="+mn-ea"/>
          <w:kern w:val="24"/>
        </w:rPr>
        <w:t xml:space="preserve">, </w:t>
      </w:r>
      <w:r w:rsidR="006D5067" w:rsidRPr="00002144">
        <w:rPr>
          <w:rFonts w:eastAsia="+mn-ea"/>
          <w:kern w:val="24"/>
        </w:rPr>
        <w:t>Quintana Roo</w:t>
      </w:r>
      <w:r w:rsidR="00CB5ACD">
        <w:rPr>
          <w:rFonts w:eastAsia="+mn-ea"/>
          <w:kern w:val="24"/>
        </w:rPr>
        <w:t xml:space="preserve"> y </w:t>
      </w:r>
      <w:r w:rsidR="00CB5ACD" w:rsidRPr="00002144">
        <w:rPr>
          <w:rFonts w:eastAsia="+mn-ea"/>
          <w:kern w:val="24"/>
        </w:rPr>
        <w:t>Baja California</w:t>
      </w:r>
      <w:r w:rsidR="006D5067" w:rsidRPr="00002144">
        <w:rPr>
          <w:rFonts w:eastAsia="+mn-ea"/>
          <w:kern w:val="24"/>
        </w:rPr>
        <w:t xml:space="preserve">. </w:t>
      </w:r>
      <w:r w:rsidR="006D5067" w:rsidRPr="00C71B02">
        <w:t>En una tercera etapa, en octubre de 2022,</w:t>
      </w:r>
      <w:r w:rsidR="002266BF" w:rsidRPr="00C71B02">
        <w:t xml:space="preserve"> se sumaron</w:t>
      </w:r>
      <w:r w:rsidR="00C37D05">
        <w:t>:</w:t>
      </w:r>
      <w:r w:rsidR="006D5067" w:rsidRPr="00002144">
        <w:rPr>
          <w:rFonts w:eastAsia="+mn-ea"/>
          <w:kern w:val="24"/>
        </w:rPr>
        <w:t xml:space="preserve"> Baja California Sur</w:t>
      </w:r>
      <w:r w:rsidR="00CB5ACD">
        <w:rPr>
          <w:rFonts w:eastAsia="+mn-ea"/>
          <w:kern w:val="24"/>
        </w:rPr>
        <w:t>,</w:t>
      </w:r>
      <w:r w:rsidR="006D5067" w:rsidRPr="00002144">
        <w:rPr>
          <w:rFonts w:eastAsia="+mn-ea"/>
          <w:kern w:val="24"/>
        </w:rPr>
        <w:t xml:space="preserve"> Chihuahua, Ciudad de México, Coahuila, Guerrero, Jalisco, Michoacán, Nayarit, Nuevo León, Sinaloa, Sonora, Tamaulipas y Yucatán.</w:t>
      </w:r>
      <w:r w:rsidR="00B60B3B" w:rsidRPr="00C71B02">
        <w:t xml:space="preserve"> </w:t>
      </w:r>
    </w:p>
    <w:p w14:paraId="688042F1" w14:textId="77777777" w:rsidR="00EA3CA2" w:rsidRPr="00C71B02" w:rsidRDefault="00EA3CA2" w:rsidP="00F95A40">
      <w:pPr>
        <w:pStyle w:val="Textoindependiente"/>
        <w:kinsoku w:val="0"/>
        <w:overflowPunct w:val="0"/>
        <w:ind w:left="0" w:right="-103"/>
        <w:jc w:val="both"/>
      </w:pPr>
    </w:p>
    <w:p w14:paraId="5A4D6E79" w14:textId="52027152" w:rsidR="00303978" w:rsidRDefault="00B52713" w:rsidP="00EA3CA2">
      <w:pPr>
        <w:pStyle w:val="Textoindependiente"/>
        <w:kinsoku w:val="0"/>
        <w:overflowPunct w:val="0"/>
        <w:ind w:left="0" w:right="-103"/>
        <w:jc w:val="both"/>
      </w:pPr>
      <w:r>
        <w:t>L</w:t>
      </w:r>
      <w:r w:rsidR="00303978" w:rsidRPr="006B0992">
        <w:t xml:space="preserve">as </w:t>
      </w:r>
      <w:r w:rsidRPr="006B0992">
        <w:t>E</w:t>
      </w:r>
      <w:r>
        <w:t xml:space="preserve">RLAJUL </w:t>
      </w:r>
      <w:r w:rsidR="00303978" w:rsidRPr="006B0992">
        <w:t>comprenden los eventos de jurisdicción local sobre los siguientes aspectos:</w:t>
      </w:r>
    </w:p>
    <w:p w14:paraId="7EA854A2" w14:textId="77777777" w:rsidR="00EA3CA2" w:rsidRPr="006B0992" w:rsidRDefault="00EA3CA2" w:rsidP="00F95A40">
      <w:pPr>
        <w:pStyle w:val="Textoindependiente"/>
        <w:kinsoku w:val="0"/>
        <w:overflowPunct w:val="0"/>
        <w:ind w:left="0" w:right="-103"/>
        <w:jc w:val="both"/>
      </w:pPr>
    </w:p>
    <w:p w14:paraId="6793F17F" w14:textId="2F93D95E" w:rsidR="00303978" w:rsidRDefault="00303978" w:rsidP="00EA3CA2">
      <w:pPr>
        <w:pStyle w:val="Textoindependiente"/>
        <w:numPr>
          <w:ilvl w:val="1"/>
          <w:numId w:val="4"/>
        </w:numPr>
        <w:kinsoku w:val="0"/>
        <w:overflowPunct w:val="0"/>
        <w:ind w:left="680" w:right="-103" w:hanging="340"/>
        <w:jc w:val="both"/>
      </w:pPr>
      <w:r w:rsidRPr="006826CD">
        <w:rPr>
          <w:b/>
        </w:rPr>
        <w:t>Convenios de trabajo prejudiciales</w:t>
      </w:r>
      <w:r>
        <w:t xml:space="preserve">. </w:t>
      </w:r>
      <w:r w:rsidRPr="006B0992">
        <w:t xml:space="preserve">Corresponden a </w:t>
      </w:r>
      <w:r w:rsidR="00B079D5">
        <w:t xml:space="preserve">los </w:t>
      </w:r>
      <w:r w:rsidRPr="006B0992">
        <w:t>acuerdos laborales que evitan la generación de un conflicto o litigio</w:t>
      </w:r>
      <w:r w:rsidR="008510F6">
        <w:t xml:space="preserve"> en los tribunales laborales locales</w:t>
      </w:r>
      <w:r w:rsidR="00DE4BC2">
        <w:t xml:space="preserve">. </w:t>
      </w:r>
      <w:r w:rsidR="005C6DDF">
        <w:t xml:space="preserve">Hasta antes de la entrada en vigor de la Reforma Laboral del 1 de mayo de 2019, </w:t>
      </w:r>
      <w:r>
        <w:t>se publicaban como convenios de trabajo fuera de juicio</w:t>
      </w:r>
      <w:r w:rsidRPr="006B0992">
        <w:t>.</w:t>
      </w:r>
    </w:p>
    <w:p w14:paraId="5B017CCD" w14:textId="77777777" w:rsidR="00EA3CA2" w:rsidRPr="006B0992" w:rsidRDefault="00EA3CA2" w:rsidP="00F95A40">
      <w:pPr>
        <w:pStyle w:val="Textoindependiente"/>
        <w:kinsoku w:val="0"/>
        <w:overflowPunct w:val="0"/>
        <w:ind w:left="680" w:right="-103"/>
        <w:jc w:val="both"/>
      </w:pPr>
    </w:p>
    <w:p w14:paraId="31A4714D" w14:textId="4871B07C" w:rsidR="00303978" w:rsidRDefault="00303978" w:rsidP="00EA3CA2">
      <w:pPr>
        <w:pStyle w:val="Textoindependiente"/>
        <w:numPr>
          <w:ilvl w:val="1"/>
          <w:numId w:val="4"/>
        </w:numPr>
        <w:kinsoku w:val="0"/>
        <w:overflowPunct w:val="0"/>
        <w:ind w:left="680" w:right="-103" w:hanging="340"/>
        <w:jc w:val="both"/>
        <w:rPr>
          <w:b/>
        </w:rPr>
      </w:pPr>
      <w:r w:rsidRPr="006826CD">
        <w:rPr>
          <w:b/>
        </w:rPr>
        <w:t>Conflictos de trabajo</w:t>
      </w:r>
    </w:p>
    <w:p w14:paraId="4C8C5F7C" w14:textId="77777777" w:rsidR="00EA3CA2" w:rsidRPr="006826CD" w:rsidRDefault="00EA3CA2" w:rsidP="00F95A40">
      <w:pPr>
        <w:pStyle w:val="Textoindependiente"/>
        <w:kinsoku w:val="0"/>
        <w:overflowPunct w:val="0"/>
        <w:ind w:left="0" w:right="-102"/>
        <w:jc w:val="both"/>
        <w:rPr>
          <w:b/>
        </w:rPr>
      </w:pPr>
    </w:p>
    <w:p w14:paraId="0C9B5A7D" w14:textId="5606B8D9" w:rsidR="00303978" w:rsidRPr="006B0992" w:rsidRDefault="00303978" w:rsidP="00F95A40">
      <w:pPr>
        <w:pStyle w:val="Textoindependiente"/>
        <w:numPr>
          <w:ilvl w:val="0"/>
          <w:numId w:val="3"/>
        </w:numPr>
        <w:kinsoku w:val="0"/>
        <w:overflowPunct w:val="0"/>
        <w:ind w:left="1134" w:right="-103" w:hanging="454"/>
        <w:jc w:val="both"/>
      </w:pPr>
      <w:r w:rsidRPr="009C3ECE">
        <w:rPr>
          <w:b/>
          <w:bCs/>
        </w:rPr>
        <w:t>Individuales</w:t>
      </w:r>
      <w:r>
        <w:t xml:space="preserve">. </w:t>
      </w:r>
      <w:r w:rsidRPr="006B0992">
        <w:t>Situación que afecta los intereses de un</w:t>
      </w:r>
      <w:r w:rsidR="00DE4BC2">
        <w:t>a o un</w:t>
      </w:r>
      <w:r w:rsidRPr="006B0992">
        <w:t xml:space="preserve"> trabajador</w:t>
      </w:r>
    </w:p>
    <w:p w14:paraId="3EEB13C6" w14:textId="5AEE4488" w:rsidR="00303978" w:rsidRPr="006B0992" w:rsidRDefault="00303978" w:rsidP="00F95A40">
      <w:pPr>
        <w:pStyle w:val="Textoindependiente"/>
        <w:numPr>
          <w:ilvl w:val="0"/>
          <w:numId w:val="3"/>
        </w:numPr>
        <w:kinsoku w:val="0"/>
        <w:overflowPunct w:val="0"/>
        <w:ind w:left="1134" w:right="-103" w:hanging="454"/>
        <w:jc w:val="both"/>
      </w:pPr>
      <w:r w:rsidRPr="009C3ECE">
        <w:rPr>
          <w:b/>
          <w:bCs/>
        </w:rPr>
        <w:t>Colectivos</w:t>
      </w:r>
      <w:r>
        <w:t xml:space="preserve">. </w:t>
      </w:r>
      <w:r w:rsidRPr="006B0992">
        <w:t xml:space="preserve">Situación que afecta los intereses de </w:t>
      </w:r>
      <w:r w:rsidR="00DE4BC2">
        <w:t xml:space="preserve">todas y </w:t>
      </w:r>
      <w:r w:rsidRPr="006B0992">
        <w:t>todos los trabajadores de una empresa</w:t>
      </w:r>
    </w:p>
    <w:p w14:paraId="5B626CC4" w14:textId="01C7FE3C" w:rsidR="00937607" w:rsidRDefault="00303978" w:rsidP="00F95A40">
      <w:pPr>
        <w:pStyle w:val="Textoindependiente"/>
        <w:numPr>
          <w:ilvl w:val="0"/>
          <w:numId w:val="3"/>
        </w:numPr>
        <w:kinsoku w:val="0"/>
        <w:overflowPunct w:val="0"/>
        <w:ind w:left="1134" w:right="-103" w:hanging="454"/>
        <w:jc w:val="both"/>
      </w:pPr>
      <w:r w:rsidRPr="00781027">
        <w:rPr>
          <w:b/>
          <w:bCs/>
        </w:rPr>
        <w:t>Conflictos de trabajo solucionados</w:t>
      </w:r>
    </w:p>
    <w:p w14:paraId="69F3933C" w14:textId="77777777" w:rsidR="00937607" w:rsidRDefault="00937607" w:rsidP="00F95A40">
      <w:pPr>
        <w:widowControl/>
        <w:autoSpaceDE/>
        <w:autoSpaceDN/>
        <w:adjustRightInd/>
        <w:rPr>
          <w:rFonts w:ascii="Arial" w:hAnsi="Arial" w:cs="Arial"/>
        </w:rPr>
      </w:pPr>
      <w:r>
        <w:br w:type="page"/>
      </w:r>
    </w:p>
    <w:p w14:paraId="4064648D" w14:textId="02CBFE14" w:rsidR="00303978" w:rsidRDefault="00303978" w:rsidP="00EA3CA2">
      <w:pPr>
        <w:pStyle w:val="Textoindependiente"/>
        <w:numPr>
          <w:ilvl w:val="1"/>
          <w:numId w:val="4"/>
        </w:numPr>
        <w:kinsoku w:val="0"/>
        <w:overflowPunct w:val="0"/>
        <w:ind w:left="680" w:right="-103" w:hanging="340"/>
        <w:jc w:val="both"/>
        <w:rPr>
          <w:b/>
        </w:rPr>
      </w:pPr>
      <w:r w:rsidRPr="006826CD">
        <w:rPr>
          <w:b/>
        </w:rPr>
        <w:lastRenderedPageBreak/>
        <w:t>Huelgas</w:t>
      </w:r>
    </w:p>
    <w:p w14:paraId="66DF09E6" w14:textId="77777777" w:rsidR="00EA3CA2" w:rsidRPr="006826CD" w:rsidRDefault="00EA3CA2" w:rsidP="00F95A40">
      <w:pPr>
        <w:pStyle w:val="Textoindependiente"/>
        <w:kinsoku w:val="0"/>
        <w:overflowPunct w:val="0"/>
        <w:ind w:left="680" w:right="-103"/>
        <w:jc w:val="both"/>
        <w:rPr>
          <w:b/>
        </w:rPr>
      </w:pPr>
    </w:p>
    <w:p w14:paraId="66724372" w14:textId="7070FBB1" w:rsidR="00303978" w:rsidRPr="006B0992" w:rsidRDefault="00303978" w:rsidP="00F95A40">
      <w:pPr>
        <w:pStyle w:val="Textoindependiente"/>
        <w:numPr>
          <w:ilvl w:val="0"/>
          <w:numId w:val="2"/>
        </w:numPr>
        <w:kinsoku w:val="0"/>
        <w:overflowPunct w:val="0"/>
        <w:ind w:left="1134" w:right="-103" w:hanging="454"/>
        <w:jc w:val="both"/>
      </w:pPr>
      <w:r w:rsidRPr="009C3ECE">
        <w:rPr>
          <w:b/>
          <w:bCs/>
        </w:rPr>
        <w:t>Emplazamientos a huelga.</w:t>
      </w:r>
      <w:r>
        <w:t xml:space="preserve"> </w:t>
      </w:r>
      <w:r w:rsidRPr="006B0992">
        <w:t>Propósito de ir a la huelga a partir de un pliego de peticiones</w:t>
      </w:r>
    </w:p>
    <w:p w14:paraId="48925E88" w14:textId="3974A279" w:rsidR="00303978" w:rsidRPr="009C3ECE" w:rsidRDefault="00303978" w:rsidP="00F95A40">
      <w:pPr>
        <w:pStyle w:val="Textoindependiente"/>
        <w:numPr>
          <w:ilvl w:val="0"/>
          <w:numId w:val="2"/>
        </w:numPr>
        <w:kinsoku w:val="0"/>
        <w:overflowPunct w:val="0"/>
        <w:ind w:left="1134" w:right="-103" w:hanging="454"/>
        <w:jc w:val="both"/>
        <w:rPr>
          <w:b/>
          <w:bCs/>
        </w:rPr>
      </w:pPr>
      <w:r w:rsidRPr="009C3ECE">
        <w:rPr>
          <w:b/>
          <w:bCs/>
        </w:rPr>
        <w:t>Emplazamientos a huelga solucionados</w:t>
      </w:r>
    </w:p>
    <w:p w14:paraId="32415362" w14:textId="4A89DF63" w:rsidR="00303978" w:rsidRPr="006B0992" w:rsidRDefault="00303978" w:rsidP="00F95A40">
      <w:pPr>
        <w:pStyle w:val="Textoindependiente"/>
        <w:numPr>
          <w:ilvl w:val="0"/>
          <w:numId w:val="2"/>
        </w:numPr>
        <w:kinsoku w:val="0"/>
        <w:overflowPunct w:val="0"/>
        <w:ind w:left="1134" w:right="-103" w:hanging="454"/>
        <w:jc w:val="both"/>
      </w:pPr>
      <w:r w:rsidRPr="009C3ECE">
        <w:rPr>
          <w:b/>
          <w:bCs/>
        </w:rPr>
        <w:t>Huelgas estalladas</w:t>
      </w:r>
      <w:r>
        <w:t xml:space="preserve">. </w:t>
      </w:r>
      <w:r w:rsidRPr="006B0992">
        <w:t>Emplazamientos a huelga en los que las partes no logran una conciliación</w:t>
      </w:r>
      <w:r w:rsidR="00DE4BC2">
        <w:t xml:space="preserve"> y se inicia</w:t>
      </w:r>
      <w:r w:rsidRPr="006B0992">
        <w:t xml:space="preserve"> una huelga</w:t>
      </w:r>
      <w:r w:rsidR="00D06E85">
        <w:t>.</w:t>
      </w:r>
    </w:p>
    <w:p w14:paraId="0F28B77D" w14:textId="264BB43B" w:rsidR="00303978" w:rsidRDefault="00303978" w:rsidP="00F95A40">
      <w:pPr>
        <w:pStyle w:val="Textoindependiente"/>
        <w:numPr>
          <w:ilvl w:val="0"/>
          <w:numId w:val="2"/>
        </w:numPr>
        <w:kinsoku w:val="0"/>
        <w:overflowPunct w:val="0"/>
        <w:ind w:left="1134" w:right="-103" w:hanging="454"/>
        <w:jc w:val="both"/>
      </w:pPr>
      <w:r w:rsidRPr="009C3ECE">
        <w:rPr>
          <w:b/>
          <w:bCs/>
        </w:rPr>
        <w:t>Huelgas solucionadas</w:t>
      </w:r>
      <w:r>
        <w:t xml:space="preserve"> </w:t>
      </w:r>
    </w:p>
    <w:p w14:paraId="6D5954F3" w14:textId="1D4EE939" w:rsidR="00E51CBA" w:rsidRDefault="00E51CBA" w:rsidP="00EA3CA2">
      <w:pPr>
        <w:pStyle w:val="Textoindependiente"/>
        <w:kinsoku w:val="0"/>
        <w:overflowPunct w:val="0"/>
        <w:ind w:left="680" w:right="-102"/>
        <w:jc w:val="both"/>
      </w:pPr>
    </w:p>
    <w:p w14:paraId="7755DE89" w14:textId="77777777" w:rsidR="00EA3CA2" w:rsidRPr="006B0992" w:rsidRDefault="00EA3CA2" w:rsidP="00F95A40">
      <w:pPr>
        <w:pStyle w:val="Textoindependiente"/>
        <w:kinsoku w:val="0"/>
        <w:overflowPunct w:val="0"/>
        <w:ind w:left="680" w:right="-102"/>
        <w:jc w:val="both"/>
      </w:pPr>
    </w:p>
    <w:p w14:paraId="4C0C1D7F" w14:textId="6731E289" w:rsidR="00C931E8" w:rsidRDefault="00B52713" w:rsidP="00EA3CA2">
      <w:pPr>
        <w:ind w:firstLine="680"/>
        <w:rPr>
          <w:rFonts w:ascii="Arial Negrita" w:hAnsi="Arial Negrita" w:cs="Arial"/>
          <w:bCs/>
        </w:rPr>
      </w:pPr>
      <w:r>
        <w:rPr>
          <w:rFonts w:ascii="Arial Negrita" w:hAnsi="Arial Negrita" w:cs="Arial"/>
          <w:bCs/>
        </w:rPr>
        <w:t>Ma</w:t>
      </w:r>
      <w:r w:rsidRPr="00B52713">
        <w:rPr>
          <w:rFonts w:ascii="Arial Negrita" w:hAnsi="Arial Negrita" w:cs="Arial"/>
          <w:bCs/>
        </w:rPr>
        <w:t>rco jur</w:t>
      </w:r>
      <w:r w:rsidRPr="00B52713">
        <w:rPr>
          <w:rFonts w:ascii="Arial Negrita" w:hAnsi="Arial Negrita" w:cs="Arial" w:hint="eastAsia"/>
          <w:bCs/>
        </w:rPr>
        <w:t>í</w:t>
      </w:r>
      <w:r w:rsidRPr="00B52713">
        <w:rPr>
          <w:rFonts w:ascii="Arial Negrita" w:hAnsi="Arial Negrita" w:cs="Arial"/>
          <w:bCs/>
        </w:rPr>
        <w:t>dico-conceptual</w:t>
      </w:r>
    </w:p>
    <w:p w14:paraId="182D78C2" w14:textId="77777777" w:rsidR="00EA3CA2" w:rsidRPr="00F95A40" w:rsidRDefault="00EA3CA2" w:rsidP="00F95A40">
      <w:pPr>
        <w:ind w:firstLine="680"/>
        <w:rPr>
          <w:rFonts w:ascii="Arial Negrita" w:hAnsi="Arial Negrita" w:cs="Arial"/>
          <w:bCs/>
        </w:rPr>
      </w:pPr>
    </w:p>
    <w:p w14:paraId="07D47BB0" w14:textId="77777777" w:rsidR="00C931E8" w:rsidRPr="00C9662E" w:rsidRDefault="00C931E8" w:rsidP="00F95A40">
      <w:pPr>
        <w:rPr>
          <w:rFonts w:ascii="Arial" w:hAnsi="Arial" w:cs="Arial"/>
          <w:b/>
          <w:bCs/>
        </w:rPr>
      </w:pPr>
      <w:r w:rsidRPr="00C9662E">
        <w:rPr>
          <w:rFonts w:ascii="Arial" w:hAnsi="Arial" w:cs="Arial"/>
          <w:b/>
          <w:bCs/>
        </w:rPr>
        <w:t>Convenios de trabajo prejudicial</w:t>
      </w:r>
    </w:p>
    <w:p w14:paraId="7D99CDA6" w14:textId="472F5BD8" w:rsidR="00C931E8" w:rsidRDefault="00C931E8" w:rsidP="000D236E">
      <w:pPr>
        <w:spacing w:after="120"/>
        <w:jc w:val="both"/>
        <w:rPr>
          <w:rFonts w:ascii="Arial" w:hAnsi="Arial" w:cs="Arial"/>
        </w:rPr>
      </w:pPr>
      <w:r w:rsidRPr="00C9662E">
        <w:rPr>
          <w:rFonts w:ascii="Arial" w:hAnsi="Arial" w:cs="Arial"/>
        </w:rPr>
        <w:t>En este tipo de convenios</w:t>
      </w:r>
      <w:r w:rsidR="00D06E85">
        <w:rPr>
          <w:rFonts w:ascii="Arial" w:hAnsi="Arial" w:cs="Arial"/>
        </w:rPr>
        <w:t>,</w:t>
      </w:r>
      <w:r w:rsidRPr="00C9662E">
        <w:rPr>
          <w:rFonts w:ascii="Arial" w:hAnsi="Arial" w:cs="Arial"/>
        </w:rPr>
        <w:t xml:space="preserve"> no existe litigio o conflicto sujeto a resolución judicial</w:t>
      </w:r>
      <w:r w:rsidR="000933DC">
        <w:rPr>
          <w:rFonts w:ascii="Arial" w:hAnsi="Arial" w:cs="Arial"/>
        </w:rPr>
        <w:t xml:space="preserve"> o de arbitraje laboral</w:t>
      </w:r>
      <w:r w:rsidR="00DE4BC2">
        <w:rPr>
          <w:rFonts w:ascii="Arial" w:hAnsi="Arial" w:cs="Arial"/>
        </w:rPr>
        <w:t>. L</w:t>
      </w:r>
      <w:r w:rsidRPr="00C9662E">
        <w:rPr>
          <w:rFonts w:ascii="Arial" w:hAnsi="Arial" w:cs="Arial"/>
        </w:rPr>
        <w:t>a</w:t>
      </w:r>
      <w:r w:rsidR="0006114C">
        <w:rPr>
          <w:rFonts w:ascii="Arial" w:hAnsi="Arial" w:cs="Arial"/>
        </w:rPr>
        <w:t>s</w:t>
      </w:r>
      <w:r w:rsidRPr="00C9662E">
        <w:rPr>
          <w:rFonts w:ascii="Arial" w:hAnsi="Arial" w:cs="Arial"/>
        </w:rPr>
        <w:t xml:space="preserve"> actuaci</w:t>
      </w:r>
      <w:r w:rsidR="0006114C">
        <w:rPr>
          <w:rFonts w:ascii="Arial" w:hAnsi="Arial" w:cs="Arial"/>
        </w:rPr>
        <w:t>ones</w:t>
      </w:r>
      <w:r w:rsidRPr="00C9662E">
        <w:rPr>
          <w:rFonts w:ascii="Arial" w:hAnsi="Arial" w:cs="Arial"/>
        </w:rPr>
        <w:t xml:space="preserve"> de las </w:t>
      </w:r>
      <w:r w:rsidR="006E050C">
        <w:rPr>
          <w:rFonts w:ascii="Arial" w:hAnsi="Arial" w:cs="Arial"/>
        </w:rPr>
        <w:t>J</w:t>
      </w:r>
      <w:r w:rsidR="006E050C" w:rsidRPr="00C9662E">
        <w:rPr>
          <w:rFonts w:ascii="Arial" w:hAnsi="Arial" w:cs="Arial"/>
        </w:rPr>
        <w:t xml:space="preserve">untas </w:t>
      </w:r>
      <w:r w:rsidR="006E050C">
        <w:rPr>
          <w:rFonts w:ascii="Arial" w:hAnsi="Arial" w:cs="Arial"/>
        </w:rPr>
        <w:t xml:space="preserve">Locales </w:t>
      </w:r>
      <w:r w:rsidRPr="00C9662E">
        <w:rPr>
          <w:rFonts w:ascii="Arial" w:hAnsi="Arial" w:cs="Arial"/>
        </w:rPr>
        <w:t xml:space="preserve">y la de los </w:t>
      </w:r>
      <w:r w:rsidR="006E050C">
        <w:rPr>
          <w:rFonts w:ascii="Arial" w:hAnsi="Arial" w:cs="Arial"/>
        </w:rPr>
        <w:t>C</w:t>
      </w:r>
      <w:r w:rsidR="006E050C" w:rsidRPr="00C9662E">
        <w:rPr>
          <w:rFonts w:ascii="Arial" w:hAnsi="Arial" w:cs="Arial"/>
        </w:rPr>
        <w:t xml:space="preserve">entros </w:t>
      </w:r>
      <w:r w:rsidR="0006114C">
        <w:rPr>
          <w:rFonts w:ascii="Arial" w:hAnsi="Arial" w:cs="Arial"/>
        </w:rPr>
        <w:t>son</w:t>
      </w:r>
      <w:r w:rsidR="009A6909">
        <w:rPr>
          <w:rFonts w:ascii="Arial" w:hAnsi="Arial" w:cs="Arial"/>
        </w:rPr>
        <w:t xml:space="preserve"> </w:t>
      </w:r>
      <w:r w:rsidRPr="00C9662E">
        <w:rPr>
          <w:rFonts w:ascii="Arial" w:hAnsi="Arial" w:cs="Arial"/>
        </w:rPr>
        <w:t>conciliatorias y declarativas para notificar del registro de este tipo de acuerdos.</w:t>
      </w:r>
    </w:p>
    <w:p w14:paraId="58488976" w14:textId="77777777" w:rsidR="00EA3CA2" w:rsidRDefault="00EA3CA2" w:rsidP="00F95A40">
      <w:pPr>
        <w:jc w:val="both"/>
        <w:rPr>
          <w:rFonts w:ascii="Arial" w:hAnsi="Arial" w:cs="Arial"/>
        </w:rPr>
      </w:pPr>
    </w:p>
    <w:p w14:paraId="10735AC9" w14:textId="77777777" w:rsidR="00C931E8" w:rsidRPr="00C9662E" w:rsidRDefault="00C931E8" w:rsidP="00F95A40">
      <w:pPr>
        <w:pStyle w:val="Textoindependiente"/>
        <w:kinsoku w:val="0"/>
        <w:overflowPunct w:val="0"/>
        <w:ind w:left="0"/>
        <w:jc w:val="both"/>
        <w:rPr>
          <w:b/>
          <w:bCs/>
        </w:rPr>
      </w:pPr>
      <w:r w:rsidRPr="00C9662E">
        <w:rPr>
          <w:b/>
          <w:bCs/>
        </w:rPr>
        <w:t>Conflictos de trabajo</w:t>
      </w:r>
    </w:p>
    <w:p w14:paraId="346E7FB3" w14:textId="7FF72681" w:rsidR="00C931E8" w:rsidRDefault="00C931E8" w:rsidP="00EA3CA2">
      <w:pPr>
        <w:pStyle w:val="Textoindependiente"/>
        <w:kinsoku w:val="0"/>
        <w:overflowPunct w:val="0"/>
        <w:ind w:left="0"/>
        <w:jc w:val="both"/>
      </w:pPr>
      <w:r w:rsidRPr="003453C6">
        <w:t>El artículo 621 de la LFT</w:t>
      </w:r>
      <w:r w:rsidR="0016457E">
        <w:t>,</w:t>
      </w:r>
      <w:r w:rsidRPr="003453C6">
        <w:t xml:space="preserve"> hasta antes de la reforma laboral del </w:t>
      </w:r>
      <w:r w:rsidR="00DE4BC2">
        <w:t>primero</w:t>
      </w:r>
      <w:r w:rsidR="00E51CBA">
        <w:t> </w:t>
      </w:r>
      <w:r w:rsidRPr="003453C6">
        <w:t xml:space="preserve">de mayo de 2019, mencionaba que </w:t>
      </w:r>
      <w:r w:rsidR="0016457E" w:rsidRPr="003453C6">
        <w:t xml:space="preserve">correspondía </w:t>
      </w:r>
      <w:r w:rsidRPr="003453C6">
        <w:t>a las Juntas Locales de Conciliación y Arbitraje el conocimiento y resolución de los conflictos de carácter laboral que surgieran entre</w:t>
      </w:r>
      <w:r w:rsidR="00B52713">
        <w:t xml:space="preserve"> las y </w:t>
      </w:r>
      <w:r w:rsidR="00A353AC">
        <w:t xml:space="preserve">los </w:t>
      </w:r>
      <w:r w:rsidR="00A353AC" w:rsidRPr="003453C6">
        <w:t>trabajadores</w:t>
      </w:r>
      <w:r w:rsidRPr="003453C6">
        <w:t xml:space="preserve"> y </w:t>
      </w:r>
      <w:r w:rsidR="00B52713">
        <w:t xml:space="preserve">la o el </w:t>
      </w:r>
      <w:r w:rsidRPr="003453C6">
        <w:t xml:space="preserve">patrón durante la relación laboral. Actualmente, el tercer párrafo del artículo 590-F de la LFT estipula que, antes de acudir a los Tribunales Laborales, </w:t>
      </w:r>
      <w:r w:rsidR="00DE4BC2">
        <w:t xml:space="preserve">las y </w:t>
      </w:r>
      <w:r w:rsidRPr="003453C6">
        <w:t>los trabajadores y patrones deberán asistir a la instancia conciliatoria correspondiente. Asimismo, la fracción I del artículo 590-E de dicho ordenamiento establece que</w:t>
      </w:r>
      <w:r w:rsidR="00DE4BC2">
        <w:t>,</w:t>
      </w:r>
      <w:r w:rsidRPr="003453C6">
        <w:t xml:space="preserve"> en el orden local, la función conciliatoria estará a cargo de los Centros de Conciliación </w:t>
      </w:r>
      <w:r w:rsidR="00EA3CA2">
        <w:t>l</w:t>
      </w:r>
      <w:r w:rsidRPr="003453C6">
        <w:t>ocales, especializados e imparciales, que se constituyan en las entidades federativas y en Ciudad de México.</w:t>
      </w:r>
    </w:p>
    <w:p w14:paraId="17001CA8" w14:textId="77777777" w:rsidR="00EA3CA2" w:rsidRPr="003453C6" w:rsidRDefault="00EA3CA2" w:rsidP="00EA3CA2">
      <w:pPr>
        <w:pStyle w:val="Textoindependiente"/>
        <w:kinsoku w:val="0"/>
        <w:overflowPunct w:val="0"/>
        <w:ind w:left="0"/>
        <w:jc w:val="both"/>
      </w:pPr>
    </w:p>
    <w:p w14:paraId="0E25D617" w14:textId="36DFB141" w:rsidR="00C931E8" w:rsidRDefault="00C931E8" w:rsidP="00EA3CA2">
      <w:pPr>
        <w:pStyle w:val="Textoindependiente"/>
        <w:kinsoku w:val="0"/>
        <w:overflowPunct w:val="0"/>
        <w:ind w:left="0"/>
        <w:jc w:val="both"/>
      </w:pPr>
      <w:r w:rsidRPr="003453C6">
        <w:t xml:space="preserve">De conformidad con el párrafo tercero del artículo tercero transitorio de la </w:t>
      </w:r>
      <w:r w:rsidR="00EA3CA2">
        <w:t>LFT</w:t>
      </w:r>
      <w:r w:rsidRPr="003453C6">
        <w:t xml:space="preserve">, hasta en tanto el Centro Federal de Conciliación y Arbitraje no inicie sus funciones registrales, las Juntas de Conciliación y Arbitraje, al igual que la Secretaría del Trabajo y Previsión Social </w:t>
      </w:r>
      <w:r w:rsidR="00EA3CA2">
        <w:t xml:space="preserve">(STPS) </w:t>
      </w:r>
      <w:r w:rsidRPr="003453C6">
        <w:t>continuarán con las funciones registrales previstas en la LFT</w:t>
      </w:r>
      <w:r w:rsidRPr="003453C6" w:rsidDel="00486FC3">
        <w:t xml:space="preserve"> </w:t>
      </w:r>
      <w:r w:rsidRPr="003453C6">
        <w:t>vigente al momento de la entrada en vigor del Decreto por el que se reforman, adicionan y derogan diversas disposiciones de la LFT</w:t>
      </w:r>
      <w:r w:rsidRPr="003453C6" w:rsidDel="00486FC3">
        <w:t>.</w:t>
      </w:r>
    </w:p>
    <w:p w14:paraId="11B2834E" w14:textId="77777777" w:rsidR="00EA3CA2" w:rsidRDefault="00EA3CA2" w:rsidP="00EA3CA2">
      <w:pPr>
        <w:pStyle w:val="Textoindependiente"/>
        <w:kinsoku w:val="0"/>
        <w:overflowPunct w:val="0"/>
        <w:ind w:left="0"/>
        <w:jc w:val="both"/>
      </w:pPr>
    </w:p>
    <w:p w14:paraId="5C92DE96" w14:textId="5754273B" w:rsidR="00C931E8" w:rsidRDefault="00C931E8" w:rsidP="00EA3CA2">
      <w:pPr>
        <w:pStyle w:val="Textoindependiente"/>
        <w:kinsoku w:val="0"/>
        <w:overflowPunct w:val="0"/>
        <w:ind w:left="0"/>
        <w:jc w:val="both"/>
      </w:pPr>
      <w:r>
        <w:t xml:space="preserve">El artículo octavo transitorio de la LFT refiere que </w:t>
      </w:r>
      <w:r w:rsidR="00D06E85">
        <w:t xml:space="preserve">corresponde a </w:t>
      </w:r>
      <w:r>
        <w:t xml:space="preserve">las Juntas de Conciliación y Arbitraje federales y locales </w:t>
      </w:r>
      <w:r w:rsidR="009F4EA7">
        <w:t xml:space="preserve">conocer </w:t>
      </w:r>
      <w:r>
        <w:t xml:space="preserve">los procedimientos individuales, colectivos y registrales que se inicien </w:t>
      </w:r>
      <w:r w:rsidR="00D06E85">
        <w:t xml:space="preserve">después de </w:t>
      </w:r>
      <w:r>
        <w:t xml:space="preserve">la entrada en vigor del Decreto por el que se reformó la LFT, hasta la entrada en funciones de los Centros de Conciliación Laboral y de los Tribunales Laborales en el ámbito local. </w:t>
      </w:r>
    </w:p>
    <w:p w14:paraId="11DB5B3E" w14:textId="1C47E306" w:rsidR="00EA3CA2" w:rsidRDefault="00EA3CA2" w:rsidP="00EA3CA2">
      <w:pPr>
        <w:pStyle w:val="Textoindependiente"/>
        <w:kinsoku w:val="0"/>
        <w:overflowPunct w:val="0"/>
        <w:ind w:left="0"/>
        <w:jc w:val="both"/>
      </w:pPr>
    </w:p>
    <w:p w14:paraId="6CD06DC4" w14:textId="77777777" w:rsidR="00EA3CA2" w:rsidRDefault="00EA3CA2" w:rsidP="00EA3CA2">
      <w:pPr>
        <w:pStyle w:val="Textoindependiente"/>
        <w:kinsoku w:val="0"/>
        <w:overflowPunct w:val="0"/>
        <w:ind w:left="0"/>
        <w:jc w:val="both"/>
        <w:rPr>
          <w:b/>
          <w:bCs/>
        </w:rPr>
      </w:pPr>
    </w:p>
    <w:p w14:paraId="5D73360C" w14:textId="77777777" w:rsidR="00EA3CA2" w:rsidRDefault="00EA3CA2" w:rsidP="00EA3CA2">
      <w:pPr>
        <w:pStyle w:val="Textoindependiente"/>
        <w:kinsoku w:val="0"/>
        <w:overflowPunct w:val="0"/>
        <w:ind w:left="0"/>
        <w:jc w:val="both"/>
        <w:rPr>
          <w:b/>
          <w:bCs/>
        </w:rPr>
      </w:pPr>
    </w:p>
    <w:p w14:paraId="56EF8C65" w14:textId="77777777" w:rsidR="00EA3CA2" w:rsidRDefault="00EA3CA2" w:rsidP="00EA3CA2">
      <w:pPr>
        <w:pStyle w:val="Textoindependiente"/>
        <w:kinsoku w:val="0"/>
        <w:overflowPunct w:val="0"/>
        <w:ind w:left="0"/>
        <w:jc w:val="both"/>
        <w:rPr>
          <w:b/>
          <w:bCs/>
        </w:rPr>
      </w:pPr>
    </w:p>
    <w:p w14:paraId="3B9DF092" w14:textId="77777777" w:rsidR="00EA3CA2" w:rsidRDefault="00EA3CA2" w:rsidP="00EA3CA2">
      <w:pPr>
        <w:pStyle w:val="Textoindependiente"/>
        <w:kinsoku w:val="0"/>
        <w:overflowPunct w:val="0"/>
        <w:ind w:left="0"/>
        <w:jc w:val="both"/>
        <w:rPr>
          <w:b/>
          <w:bCs/>
        </w:rPr>
      </w:pPr>
    </w:p>
    <w:p w14:paraId="0971FD1B" w14:textId="02C43124" w:rsidR="00C931E8" w:rsidRPr="00C9662E" w:rsidRDefault="00C931E8" w:rsidP="00F95A40">
      <w:pPr>
        <w:pStyle w:val="Textoindependiente"/>
        <w:kinsoku w:val="0"/>
        <w:overflowPunct w:val="0"/>
        <w:ind w:left="0"/>
        <w:jc w:val="both"/>
        <w:rPr>
          <w:b/>
          <w:bCs/>
        </w:rPr>
      </w:pPr>
      <w:r w:rsidRPr="00C9662E">
        <w:rPr>
          <w:b/>
          <w:bCs/>
        </w:rPr>
        <w:lastRenderedPageBreak/>
        <w:t>Huelgas</w:t>
      </w:r>
    </w:p>
    <w:p w14:paraId="7507BBC3" w14:textId="3E1C6FCB" w:rsidR="00C931E8" w:rsidRDefault="00C931E8" w:rsidP="000D236E">
      <w:pPr>
        <w:pStyle w:val="Textoindependiente"/>
        <w:kinsoku w:val="0"/>
        <w:overflowPunct w:val="0"/>
        <w:ind w:left="0"/>
        <w:jc w:val="both"/>
      </w:pPr>
      <w:r>
        <w:t>En el proceso de huelga, los sindicatos de trabajadores utilizan algunos instrumentos legales con el propósito de presionar a los patrones para la rápida satisfacción de las demandas colectivas. El primer instrumento al que puede recurrir el sindicato es el emplazamiento a huelga</w:t>
      </w:r>
      <w:r w:rsidR="009F4EA7">
        <w:t>. S</w:t>
      </w:r>
      <w:r>
        <w:t>i no se llega a un arreglo</w:t>
      </w:r>
      <w:r w:rsidR="009F4EA7">
        <w:t>,</w:t>
      </w:r>
      <w:r>
        <w:t xml:space="preserve"> se procede a utilizar el recurso legal del estallamiento.</w:t>
      </w:r>
    </w:p>
    <w:p w14:paraId="78F6F9E5" w14:textId="77777777" w:rsidR="0006114C" w:rsidRDefault="0006114C" w:rsidP="000D236E">
      <w:pPr>
        <w:pStyle w:val="Textoindependiente"/>
        <w:kinsoku w:val="0"/>
        <w:overflowPunct w:val="0"/>
        <w:ind w:left="0"/>
        <w:jc w:val="both"/>
      </w:pPr>
    </w:p>
    <w:p w14:paraId="31B24EF3" w14:textId="4AD3231E" w:rsidR="00667A0A" w:rsidRPr="00F95A40" w:rsidRDefault="00667A0A" w:rsidP="00F95A40">
      <w:pPr>
        <w:ind w:firstLine="720"/>
        <w:rPr>
          <w:rFonts w:ascii="Arial Negrita" w:hAnsi="Arial Negrita" w:cs="Arial"/>
          <w:b/>
        </w:rPr>
      </w:pPr>
      <w:r w:rsidRPr="00F95A40">
        <w:rPr>
          <w:rFonts w:ascii="Arial Negrita" w:hAnsi="Arial Negrita" w:cs="Arial"/>
          <w:b/>
        </w:rPr>
        <w:t>Objetivo</w:t>
      </w:r>
      <w:r w:rsidR="006E050C" w:rsidRPr="00F95A40">
        <w:rPr>
          <w:rFonts w:ascii="Arial Negrita" w:hAnsi="Arial Negrita" w:cs="Arial"/>
          <w:b/>
        </w:rPr>
        <w:t xml:space="preserve"> del programa</w:t>
      </w:r>
    </w:p>
    <w:p w14:paraId="71B99AF0" w14:textId="77777777" w:rsidR="00056FD6" w:rsidRPr="00737E31" w:rsidRDefault="00056FD6" w:rsidP="00667A0A">
      <w:pPr>
        <w:rPr>
          <w:rFonts w:ascii="Arial Negrita" w:hAnsi="Arial Negrita" w:cs="Arial"/>
          <w:b/>
          <w:smallCaps/>
        </w:rPr>
      </w:pPr>
    </w:p>
    <w:p w14:paraId="5AF968DE" w14:textId="31676419" w:rsidR="00303978" w:rsidRDefault="00303978" w:rsidP="001D5CDD">
      <w:pPr>
        <w:pStyle w:val="Textoindependiente"/>
        <w:kinsoku w:val="0"/>
        <w:overflowPunct w:val="0"/>
        <w:spacing w:after="120"/>
        <w:ind w:left="0" w:right="-103"/>
        <w:jc w:val="both"/>
      </w:pPr>
      <w:r w:rsidRPr="006B0992">
        <w:t>Difundir información de los desacuerdos derivados de las relaciones laborales en el ámbito local</w:t>
      </w:r>
      <w:r w:rsidR="009F4EA7">
        <w:t xml:space="preserve">. La finalidad es </w:t>
      </w:r>
      <w:r w:rsidRPr="006B0992">
        <w:t>proporcionar información para el análisis, investigación, planeación y evaluación de las características y efectos de la política laboral, así como para brindar el servicio público de información.</w:t>
      </w:r>
    </w:p>
    <w:p w14:paraId="6677EF2B" w14:textId="77777777" w:rsidR="00EA3CA2" w:rsidRPr="006B0992" w:rsidRDefault="00EA3CA2" w:rsidP="001D5CDD">
      <w:pPr>
        <w:pStyle w:val="Textoindependiente"/>
        <w:kinsoku w:val="0"/>
        <w:overflowPunct w:val="0"/>
        <w:spacing w:after="120"/>
        <w:ind w:left="0" w:right="-103"/>
        <w:jc w:val="both"/>
      </w:pPr>
    </w:p>
    <w:p w14:paraId="27989794" w14:textId="7879D2D5" w:rsidR="00667A0A" w:rsidRPr="00F95A40" w:rsidRDefault="00667A0A" w:rsidP="00F95A40">
      <w:pPr>
        <w:ind w:firstLine="720"/>
        <w:rPr>
          <w:rFonts w:ascii="Arial Negrita" w:hAnsi="Arial Negrita" w:cs="Arial"/>
          <w:b/>
        </w:rPr>
      </w:pPr>
      <w:r w:rsidRPr="00F95A40">
        <w:rPr>
          <w:rFonts w:ascii="Arial Negrita" w:hAnsi="Arial Negrita" w:cs="Arial"/>
          <w:b/>
        </w:rPr>
        <w:t>Contenido</w:t>
      </w:r>
    </w:p>
    <w:p w14:paraId="749A3A13" w14:textId="77777777" w:rsidR="00056FD6" w:rsidRPr="00737E31" w:rsidRDefault="00056FD6" w:rsidP="00667A0A">
      <w:pPr>
        <w:rPr>
          <w:rFonts w:ascii="Arial Negrita" w:hAnsi="Arial Negrita" w:cs="Arial"/>
          <w:b/>
          <w:smallCaps/>
        </w:rPr>
      </w:pPr>
    </w:p>
    <w:p w14:paraId="5068E209" w14:textId="46D65F07" w:rsidR="00D06E85" w:rsidRDefault="004A2F06" w:rsidP="00D06E85">
      <w:pPr>
        <w:pStyle w:val="Textoindependiente"/>
        <w:kinsoku w:val="0"/>
        <w:overflowPunct w:val="0"/>
        <w:spacing w:after="120"/>
        <w:ind w:left="0" w:right="-103"/>
        <w:jc w:val="both"/>
      </w:pPr>
      <w:r>
        <w:rPr>
          <w:rStyle w:val="ui-provider"/>
        </w:rPr>
        <w:t>Información actualizada sobre los principales indicadores nacionales de las ERLAJUL, desglosados por entidad federativa. Contribuye a la prestación del servicio público de información al presentar información comparable, ya que actualiza los datos publicados en ediciones anteriores.</w:t>
      </w:r>
    </w:p>
    <w:p w14:paraId="2D38E6A4" w14:textId="62B45F50" w:rsidR="00644151" w:rsidRDefault="00644151" w:rsidP="001D5CDD">
      <w:pPr>
        <w:pStyle w:val="Textoindependiente"/>
        <w:kinsoku w:val="0"/>
        <w:overflowPunct w:val="0"/>
        <w:spacing w:after="120"/>
        <w:ind w:left="0" w:right="-103"/>
        <w:jc w:val="both"/>
      </w:pPr>
    </w:p>
    <w:p w14:paraId="5B53191D" w14:textId="77777777" w:rsidR="00EA3CA2" w:rsidRPr="006B0992" w:rsidRDefault="00EA3CA2" w:rsidP="001D5CDD">
      <w:pPr>
        <w:pStyle w:val="Textoindependiente"/>
        <w:kinsoku w:val="0"/>
        <w:overflowPunct w:val="0"/>
        <w:spacing w:after="120"/>
        <w:ind w:left="0" w:right="-103"/>
        <w:jc w:val="both"/>
      </w:pPr>
    </w:p>
    <w:p w14:paraId="6DA87F06" w14:textId="033F1DCB" w:rsidR="00667A0A" w:rsidRPr="00F95A40" w:rsidRDefault="00667A0A" w:rsidP="00F95A40">
      <w:pPr>
        <w:ind w:firstLine="720"/>
        <w:rPr>
          <w:rFonts w:ascii="Arial Negrita" w:hAnsi="Arial Negrita" w:cs="Arial"/>
          <w:b/>
        </w:rPr>
      </w:pPr>
      <w:r w:rsidRPr="00F95A40">
        <w:rPr>
          <w:rFonts w:ascii="Arial Negrita" w:hAnsi="Arial Negrita" w:cs="Arial"/>
          <w:b/>
        </w:rPr>
        <w:t>Descripci</w:t>
      </w:r>
      <w:r w:rsidRPr="00F95A40">
        <w:rPr>
          <w:rFonts w:ascii="Arial Negrita" w:hAnsi="Arial Negrita" w:cs="Arial" w:hint="eastAsia"/>
          <w:b/>
        </w:rPr>
        <w:t>ó</w:t>
      </w:r>
      <w:r w:rsidRPr="00F95A40">
        <w:rPr>
          <w:rFonts w:ascii="Arial Negrita" w:hAnsi="Arial Negrita" w:cs="Arial"/>
          <w:b/>
        </w:rPr>
        <w:t>n general</w:t>
      </w:r>
    </w:p>
    <w:p w14:paraId="27669724" w14:textId="77777777" w:rsidR="00056FD6" w:rsidRPr="00737E31" w:rsidRDefault="00056FD6" w:rsidP="00667A0A">
      <w:pPr>
        <w:rPr>
          <w:rFonts w:ascii="Arial Negrita" w:hAnsi="Arial Negrita" w:cs="Arial"/>
          <w:b/>
          <w:smallCaps/>
        </w:rPr>
      </w:pPr>
    </w:p>
    <w:p w14:paraId="07FB0487" w14:textId="14146BBD" w:rsidR="00303978" w:rsidRPr="00EA3CA2" w:rsidRDefault="00667A0A" w:rsidP="00BB1030">
      <w:pPr>
        <w:jc w:val="both"/>
        <w:rPr>
          <w:rFonts w:ascii="Arial" w:hAnsi="Arial" w:cs="Arial"/>
        </w:rPr>
      </w:pPr>
      <w:r w:rsidRPr="00F95A40">
        <w:rPr>
          <w:rFonts w:ascii="Arial Negrita" w:hAnsi="Arial Negrita" w:cs="Arial"/>
          <w:b/>
        </w:rPr>
        <w:t>Procedencia de la informaci</w:t>
      </w:r>
      <w:r w:rsidRPr="00F95A40">
        <w:rPr>
          <w:rFonts w:ascii="Arial Negrita" w:hAnsi="Arial Negrita" w:cs="Arial" w:hint="eastAsia"/>
          <w:b/>
        </w:rPr>
        <w:t>ó</w:t>
      </w:r>
      <w:r w:rsidRPr="00F95A40">
        <w:rPr>
          <w:rFonts w:ascii="Arial Negrita" w:hAnsi="Arial Negrita" w:cs="Arial"/>
          <w:b/>
        </w:rPr>
        <w:t xml:space="preserve">n: </w:t>
      </w:r>
      <w:r w:rsidR="00303978" w:rsidRPr="00EA3CA2">
        <w:rPr>
          <w:rFonts w:ascii="Arial" w:hAnsi="Arial" w:cs="Arial"/>
        </w:rPr>
        <w:t xml:space="preserve">Juntas Locales de Conciliación y Arbitraje, Centros de Conciliación Laboral </w:t>
      </w:r>
      <w:r w:rsidR="00EA3CA2">
        <w:rPr>
          <w:rFonts w:ascii="Arial" w:hAnsi="Arial" w:cs="Arial"/>
        </w:rPr>
        <w:t>L</w:t>
      </w:r>
      <w:r w:rsidR="00303978" w:rsidRPr="00EA3CA2">
        <w:rPr>
          <w:rFonts w:ascii="Arial" w:hAnsi="Arial" w:cs="Arial"/>
        </w:rPr>
        <w:t xml:space="preserve">ocales y Tribunales Laborales </w:t>
      </w:r>
      <w:r w:rsidR="00EA3CA2">
        <w:rPr>
          <w:rFonts w:ascii="Arial" w:hAnsi="Arial" w:cs="Arial"/>
        </w:rPr>
        <w:t>L</w:t>
      </w:r>
      <w:r w:rsidR="00303978" w:rsidRPr="00EA3CA2">
        <w:rPr>
          <w:rFonts w:ascii="Arial" w:hAnsi="Arial" w:cs="Arial"/>
        </w:rPr>
        <w:t>ocales</w:t>
      </w:r>
    </w:p>
    <w:p w14:paraId="78717E8E" w14:textId="77777777" w:rsidR="00056FD6" w:rsidRPr="00EA3CA2" w:rsidRDefault="00056FD6" w:rsidP="001D5CDD"/>
    <w:p w14:paraId="43E9545B" w14:textId="60230B71" w:rsidR="00303978" w:rsidRPr="00ED2CF5" w:rsidRDefault="00667A0A" w:rsidP="001D5CDD">
      <w:pPr>
        <w:rPr>
          <w:rFonts w:ascii="Arial" w:hAnsi="Arial" w:cs="Arial"/>
          <w:lang w:val="pt-PT"/>
        </w:rPr>
      </w:pPr>
      <w:r w:rsidRPr="00ED2CF5">
        <w:rPr>
          <w:rFonts w:ascii="Arial Negrita" w:hAnsi="Arial Negrita" w:cs="Arial"/>
          <w:b/>
          <w:lang w:val="pt-PT"/>
        </w:rPr>
        <w:t>Cobertura Geogr</w:t>
      </w:r>
      <w:r w:rsidRPr="00ED2CF5">
        <w:rPr>
          <w:rFonts w:ascii="Arial Negrita" w:hAnsi="Arial Negrita" w:cs="Arial" w:hint="eastAsia"/>
          <w:b/>
          <w:lang w:val="pt-PT"/>
        </w:rPr>
        <w:t>á</w:t>
      </w:r>
      <w:r w:rsidRPr="00ED2CF5">
        <w:rPr>
          <w:rFonts w:ascii="Arial Negrita" w:hAnsi="Arial Negrita" w:cs="Arial"/>
          <w:b/>
          <w:lang w:val="pt-PT"/>
        </w:rPr>
        <w:t>fica</w:t>
      </w:r>
      <w:r w:rsidR="00303978" w:rsidRPr="00ED2CF5">
        <w:rPr>
          <w:b/>
          <w:bCs/>
          <w:lang w:val="pt-PT"/>
        </w:rPr>
        <w:t xml:space="preserve">: </w:t>
      </w:r>
      <w:r w:rsidR="00303978" w:rsidRPr="00ED2CF5">
        <w:rPr>
          <w:rFonts w:ascii="Arial" w:hAnsi="Arial" w:cs="Arial"/>
          <w:lang w:val="pt-PT"/>
        </w:rPr>
        <w:t>Nacional</w:t>
      </w:r>
    </w:p>
    <w:p w14:paraId="6BA3C09C" w14:textId="77777777" w:rsidR="00056FD6" w:rsidRPr="00ED2CF5" w:rsidRDefault="00056FD6" w:rsidP="001D5CDD">
      <w:pPr>
        <w:rPr>
          <w:rFonts w:ascii="Arial Negrita" w:hAnsi="Arial Negrita"/>
          <w:b/>
          <w:lang w:val="pt-PT"/>
        </w:rPr>
      </w:pPr>
    </w:p>
    <w:p w14:paraId="6956126E" w14:textId="0421053B" w:rsidR="00303978" w:rsidRPr="00ED2CF5" w:rsidRDefault="00667A0A" w:rsidP="001D5CDD">
      <w:pPr>
        <w:rPr>
          <w:lang w:val="pt-PT"/>
        </w:rPr>
      </w:pPr>
      <w:r w:rsidRPr="00ED2CF5">
        <w:rPr>
          <w:rFonts w:ascii="Arial Negrita" w:hAnsi="Arial Negrita" w:cs="Arial"/>
          <w:b/>
          <w:lang w:val="pt-PT"/>
        </w:rPr>
        <w:t>Desglose geogr</w:t>
      </w:r>
      <w:r w:rsidRPr="00ED2CF5">
        <w:rPr>
          <w:rFonts w:ascii="Arial Negrita" w:hAnsi="Arial Negrita" w:cs="Arial" w:hint="eastAsia"/>
          <w:b/>
          <w:lang w:val="pt-PT"/>
        </w:rPr>
        <w:t>á</w:t>
      </w:r>
      <w:r w:rsidRPr="00ED2CF5">
        <w:rPr>
          <w:rFonts w:ascii="Arial Negrita" w:hAnsi="Arial Negrita" w:cs="Arial"/>
          <w:b/>
          <w:lang w:val="pt-PT"/>
        </w:rPr>
        <w:t>fico</w:t>
      </w:r>
      <w:r w:rsidR="00303978" w:rsidRPr="00ED2CF5">
        <w:rPr>
          <w:b/>
          <w:bCs/>
          <w:lang w:val="pt-PT"/>
        </w:rPr>
        <w:t xml:space="preserve">: </w:t>
      </w:r>
      <w:r w:rsidR="00303978" w:rsidRPr="00ED2CF5">
        <w:rPr>
          <w:rFonts w:ascii="Arial" w:hAnsi="Arial" w:cs="Arial"/>
          <w:lang w:val="pt-PT"/>
        </w:rPr>
        <w:t xml:space="preserve">Entidad </w:t>
      </w:r>
      <w:r w:rsidR="003070B5" w:rsidRPr="00ED2CF5">
        <w:rPr>
          <w:rFonts w:ascii="Arial" w:hAnsi="Arial" w:cs="Arial"/>
          <w:lang w:val="pt-PT"/>
        </w:rPr>
        <w:t>f</w:t>
      </w:r>
      <w:r w:rsidR="00303978" w:rsidRPr="00ED2CF5">
        <w:rPr>
          <w:rFonts w:ascii="Arial" w:hAnsi="Arial" w:cs="Arial"/>
          <w:lang w:val="pt-PT"/>
        </w:rPr>
        <w:t>ederativa</w:t>
      </w:r>
      <w:r w:rsidR="00303978" w:rsidRPr="00ED2CF5">
        <w:rPr>
          <w:lang w:val="pt-PT"/>
        </w:rPr>
        <w:t xml:space="preserve"> </w:t>
      </w:r>
    </w:p>
    <w:p w14:paraId="01D252EC" w14:textId="77777777" w:rsidR="00056FD6" w:rsidRPr="00ED2CF5" w:rsidRDefault="00056FD6" w:rsidP="001D5CDD">
      <w:pPr>
        <w:rPr>
          <w:lang w:val="pt-PT"/>
        </w:rPr>
      </w:pPr>
    </w:p>
    <w:p w14:paraId="260DEAF7" w14:textId="0928D446" w:rsidR="00303978" w:rsidRPr="00ED2CF5" w:rsidRDefault="00667A0A" w:rsidP="001D5CDD">
      <w:pPr>
        <w:rPr>
          <w:rFonts w:ascii="Arial" w:hAnsi="Arial" w:cs="Arial"/>
          <w:lang w:val="pt-PT"/>
        </w:rPr>
      </w:pPr>
      <w:r w:rsidRPr="00ED2CF5">
        <w:rPr>
          <w:rFonts w:ascii="Arial Negrita" w:hAnsi="Arial Negrita" w:cs="Arial"/>
          <w:b/>
          <w:lang w:val="pt-PT"/>
        </w:rPr>
        <w:t>Cobertura temporal</w:t>
      </w:r>
      <w:r w:rsidR="00303978" w:rsidRPr="00ED2CF5">
        <w:rPr>
          <w:b/>
          <w:bCs/>
          <w:lang w:val="pt-PT"/>
        </w:rPr>
        <w:t xml:space="preserve">: </w:t>
      </w:r>
      <w:r w:rsidR="00303978" w:rsidRPr="00ED2CF5">
        <w:rPr>
          <w:rFonts w:ascii="Arial" w:hAnsi="Arial" w:cs="Arial"/>
          <w:lang w:val="pt-PT"/>
        </w:rPr>
        <w:t>202</w:t>
      </w:r>
      <w:r w:rsidR="003B315E" w:rsidRPr="00ED2CF5">
        <w:rPr>
          <w:rFonts w:ascii="Arial" w:hAnsi="Arial" w:cs="Arial"/>
          <w:lang w:val="pt-PT"/>
        </w:rPr>
        <w:t>2</w:t>
      </w:r>
    </w:p>
    <w:p w14:paraId="00AF18F1" w14:textId="77777777" w:rsidR="00056FD6" w:rsidRPr="00ED2CF5" w:rsidRDefault="00056FD6" w:rsidP="001D5CDD">
      <w:pPr>
        <w:rPr>
          <w:rFonts w:ascii="Arial Negrita" w:hAnsi="Arial Negrita"/>
          <w:b/>
          <w:lang w:val="pt-PT"/>
        </w:rPr>
      </w:pPr>
    </w:p>
    <w:p w14:paraId="7EFBD9DF" w14:textId="2D0D194F" w:rsidR="00303978" w:rsidRPr="00ED2CF5" w:rsidRDefault="00667A0A" w:rsidP="001D5CDD">
      <w:pPr>
        <w:rPr>
          <w:lang w:val="pt-PT"/>
        </w:rPr>
      </w:pPr>
      <w:r w:rsidRPr="00ED2CF5">
        <w:rPr>
          <w:rFonts w:ascii="Arial Negrita" w:hAnsi="Arial Negrita" w:cs="Arial"/>
          <w:b/>
          <w:lang w:val="pt-PT"/>
        </w:rPr>
        <w:t>Corte temporal</w:t>
      </w:r>
      <w:r w:rsidR="00303978" w:rsidRPr="00ED2CF5">
        <w:rPr>
          <w:b/>
          <w:bCs/>
          <w:lang w:val="pt-PT"/>
        </w:rPr>
        <w:t xml:space="preserve">: </w:t>
      </w:r>
      <w:r w:rsidR="00303978" w:rsidRPr="00ED2CF5">
        <w:rPr>
          <w:rFonts w:ascii="Arial" w:hAnsi="Arial" w:cs="Arial"/>
          <w:lang w:val="pt-PT"/>
        </w:rPr>
        <w:t>Anual</w:t>
      </w:r>
    </w:p>
    <w:p w14:paraId="1EE23F8B" w14:textId="77777777" w:rsidR="00E7136D" w:rsidRPr="00ED2CF5" w:rsidRDefault="00E7136D" w:rsidP="001D5CDD">
      <w:pPr>
        <w:pStyle w:val="Textoindependiente"/>
        <w:kinsoku w:val="0"/>
        <w:overflowPunct w:val="0"/>
        <w:spacing w:after="120"/>
        <w:ind w:left="0" w:right="-103"/>
        <w:jc w:val="both"/>
        <w:rPr>
          <w:lang w:val="pt-PT"/>
        </w:rPr>
      </w:pPr>
    </w:p>
    <w:p w14:paraId="68AC70F7" w14:textId="77777777" w:rsidR="00C02A9F" w:rsidRPr="00ED2CF5" w:rsidRDefault="00C02A9F" w:rsidP="001D5CDD">
      <w:pPr>
        <w:pStyle w:val="Textoindependiente"/>
        <w:kinsoku w:val="0"/>
        <w:overflowPunct w:val="0"/>
        <w:spacing w:after="120"/>
        <w:ind w:left="0" w:right="-103"/>
        <w:jc w:val="both"/>
        <w:rPr>
          <w:lang w:val="pt-PT"/>
        </w:rPr>
      </w:pPr>
    </w:p>
    <w:p w14:paraId="3A7699C9" w14:textId="77777777" w:rsidR="00650F43" w:rsidRPr="00ED2CF5" w:rsidRDefault="00650F43" w:rsidP="00F95A40">
      <w:pPr>
        <w:widowControl/>
        <w:autoSpaceDE/>
        <w:autoSpaceDN/>
        <w:adjustRightInd/>
        <w:ind w:right="-102"/>
        <w:rPr>
          <w:rFonts w:ascii="Arial" w:hAnsi="Arial" w:cs="Arial"/>
          <w:lang w:val="pt-PT"/>
        </w:rPr>
      </w:pPr>
      <w:r w:rsidRPr="00ED2CF5">
        <w:rPr>
          <w:lang w:val="pt-PT"/>
        </w:rPr>
        <w:br w:type="page"/>
      </w:r>
    </w:p>
    <w:p w14:paraId="72F676A1" w14:textId="06B435D4" w:rsidR="00D152D9" w:rsidRDefault="00D152D9" w:rsidP="009F31EA">
      <w:pPr>
        <w:pStyle w:val="Textoindependiente"/>
        <w:kinsoku w:val="0"/>
        <w:overflowPunct w:val="0"/>
        <w:spacing w:after="120"/>
        <w:ind w:left="0"/>
        <w:jc w:val="center"/>
        <w:rPr>
          <w:b/>
          <w:smallCaps/>
        </w:rPr>
      </w:pPr>
      <w:r>
        <w:rPr>
          <w:b/>
          <w:smallCaps/>
        </w:rPr>
        <w:lastRenderedPageBreak/>
        <w:t xml:space="preserve">ANEXO </w:t>
      </w:r>
      <w:r w:rsidR="006B133F">
        <w:rPr>
          <w:b/>
          <w:smallCaps/>
        </w:rPr>
        <w:t>1</w:t>
      </w:r>
    </w:p>
    <w:p w14:paraId="4FD7F3AB" w14:textId="437DF405" w:rsidR="00667A0A" w:rsidRPr="009F31EA" w:rsidRDefault="00650F43" w:rsidP="009F31E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9F31EA">
        <w:rPr>
          <w:sz w:val="20"/>
          <w:szCs w:val="20"/>
        </w:rPr>
        <w:t>Tabla 1</w:t>
      </w:r>
    </w:p>
    <w:p w14:paraId="2E50C914" w14:textId="6E760055" w:rsidR="00667A0A" w:rsidRPr="00F95A40" w:rsidRDefault="00650F43" w:rsidP="009F31EA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F95A40">
        <w:rPr>
          <w:b/>
          <w:smallCaps/>
          <w:sz w:val="22"/>
          <w:szCs w:val="22"/>
        </w:rPr>
        <w:t xml:space="preserve">Relaciones </w:t>
      </w:r>
      <w:r w:rsidR="003070B5" w:rsidRPr="00F95A40">
        <w:rPr>
          <w:b/>
          <w:smallCaps/>
          <w:sz w:val="22"/>
          <w:szCs w:val="22"/>
        </w:rPr>
        <w:t>l</w:t>
      </w:r>
      <w:r w:rsidRPr="00F95A40">
        <w:rPr>
          <w:b/>
          <w:smallCaps/>
          <w:sz w:val="22"/>
          <w:szCs w:val="22"/>
        </w:rPr>
        <w:t xml:space="preserve">aborales de </w:t>
      </w:r>
      <w:r w:rsidR="003070B5" w:rsidRPr="00F95A40">
        <w:rPr>
          <w:b/>
          <w:smallCaps/>
          <w:sz w:val="22"/>
          <w:szCs w:val="22"/>
        </w:rPr>
        <w:t>j</w:t>
      </w:r>
      <w:r w:rsidRPr="00F95A40">
        <w:rPr>
          <w:b/>
          <w:smallCaps/>
          <w:sz w:val="22"/>
          <w:szCs w:val="22"/>
        </w:rPr>
        <w:t xml:space="preserve">urisdicción </w:t>
      </w:r>
      <w:r w:rsidR="003070B5" w:rsidRPr="00F95A40">
        <w:rPr>
          <w:b/>
          <w:smallCaps/>
          <w:sz w:val="22"/>
          <w:szCs w:val="22"/>
        </w:rPr>
        <w:t>l</w:t>
      </w:r>
      <w:r w:rsidRPr="00F95A40">
        <w:rPr>
          <w:b/>
          <w:smallCaps/>
          <w:sz w:val="22"/>
          <w:szCs w:val="22"/>
        </w:rPr>
        <w:t>ocal</w:t>
      </w:r>
      <w:r w:rsidR="00EA3CA2" w:rsidRPr="00F95A40">
        <w:rPr>
          <w:b/>
          <w:smallCaps/>
          <w:sz w:val="22"/>
          <w:szCs w:val="22"/>
        </w:rPr>
        <w:t xml:space="preserve">, según </w:t>
      </w:r>
      <w:r w:rsidRPr="00F95A40">
        <w:rPr>
          <w:b/>
          <w:smallCaps/>
          <w:sz w:val="22"/>
          <w:szCs w:val="22"/>
        </w:rPr>
        <w:t>entidad federativa</w:t>
      </w:r>
    </w:p>
    <w:p w14:paraId="00F2B2EA" w14:textId="3FF7B271" w:rsidR="009F31EA" w:rsidRPr="00EA3CA2" w:rsidRDefault="00EA3CA2" w:rsidP="009F31EA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F95A40">
        <w:rPr>
          <w:b/>
          <w:smallCaps/>
          <w:sz w:val="22"/>
          <w:szCs w:val="22"/>
        </w:rPr>
        <w:t>y</w:t>
      </w:r>
      <w:r w:rsidR="00667A0A" w:rsidRPr="00F95A40">
        <w:rPr>
          <w:b/>
          <w:smallCaps/>
          <w:sz w:val="22"/>
          <w:szCs w:val="22"/>
        </w:rPr>
        <w:t xml:space="preserve"> </w:t>
      </w:r>
      <w:r w:rsidR="00650F43" w:rsidRPr="00F95A40">
        <w:rPr>
          <w:b/>
          <w:smallCaps/>
          <w:sz w:val="22"/>
          <w:szCs w:val="22"/>
        </w:rPr>
        <w:t>tipo de conflicto</w:t>
      </w:r>
    </w:p>
    <w:p w14:paraId="79C6723A" w14:textId="0D85777B" w:rsidR="009F31EA" w:rsidRPr="00F95A40" w:rsidRDefault="009F31EA" w:rsidP="009F31EA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2"/>
        </w:rPr>
      </w:pPr>
      <w:r w:rsidRPr="00F95A40">
        <w:rPr>
          <w:bCs/>
          <w:sz w:val="20"/>
          <w:szCs w:val="18"/>
        </w:rPr>
        <w:t>2022</w:t>
      </w:r>
    </w:p>
    <w:tbl>
      <w:tblPr>
        <w:tblW w:w="970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2135"/>
        <w:gridCol w:w="1848"/>
        <w:gridCol w:w="2129"/>
      </w:tblGrid>
      <w:tr w:rsidR="005E3D29" w:rsidRPr="00650F43" w14:paraId="2C41AF68" w14:textId="77777777" w:rsidTr="00F95A40">
        <w:trPr>
          <w:trHeight w:hRule="exact" w:val="843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A6A2"/>
            <w:vAlign w:val="center"/>
          </w:tcPr>
          <w:p w14:paraId="733EEFE2" w14:textId="77777777" w:rsidR="005E3D29" w:rsidRPr="004F17B3" w:rsidRDefault="005E3D29" w:rsidP="004F17B3">
            <w:pPr>
              <w:kinsoku w:val="0"/>
              <w:overflowPunct w:val="0"/>
              <w:ind w:left="391" w:right="57" w:firstLine="204"/>
              <w:jc w:val="center"/>
              <w:rPr>
                <w:rFonts w:ascii="Arial" w:hAnsi="Arial"/>
                <w:sz w:val="22"/>
              </w:rPr>
            </w:pPr>
            <w:r w:rsidRPr="004F17B3">
              <w:rPr>
                <w:rFonts w:ascii="Arial" w:hAnsi="Arial"/>
                <w:b/>
                <w:color w:val="FFFFFF"/>
                <w:sz w:val="22"/>
              </w:rPr>
              <w:t>Entidad federativa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A6A2"/>
            <w:vAlign w:val="center"/>
          </w:tcPr>
          <w:p w14:paraId="50859F8C" w14:textId="22CE4C97" w:rsidR="005E3D29" w:rsidRPr="004070E3" w:rsidRDefault="005E3D29" w:rsidP="004070E3">
            <w:pPr>
              <w:kinsoku w:val="0"/>
              <w:overflowPunct w:val="0"/>
              <w:ind w:right="57"/>
              <w:jc w:val="center"/>
              <w:rPr>
                <w:rFonts w:ascii="Arial Negrita" w:hAnsi="Arial Negrita"/>
                <w:sz w:val="22"/>
                <w:vertAlign w:val="superscript"/>
              </w:rPr>
            </w:pPr>
            <w:r w:rsidRPr="004F17B3">
              <w:rPr>
                <w:rFonts w:ascii="Arial" w:hAnsi="Arial"/>
                <w:b/>
                <w:color w:val="FFFFFF"/>
                <w:sz w:val="22"/>
              </w:rPr>
              <w:t>Convenios de trabajo prejudiciales</w:t>
            </w:r>
            <w:r w:rsidR="004070E3">
              <w:rPr>
                <w:rFonts w:ascii="Arial Negrita" w:hAnsi="Arial Negrita"/>
                <w:b/>
                <w:color w:val="FFFFFF"/>
                <w:sz w:val="22"/>
                <w:vertAlign w:val="superscript"/>
              </w:rPr>
              <w:t>1</w:t>
            </w:r>
            <w:r w:rsidR="00EA3CA2">
              <w:rPr>
                <w:rFonts w:ascii="Arial Negrita" w:hAnsi="Arial Negrita"/>
                <w:b/>
                <w:color w:val="FFFFFF"/>
                <w:sz w:val="22"/>
                <w:vertAlign w:val="superscript"/>
              </w:rPr>
              <w:t>/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A6A2"/>
            <w:vAlign w:val="center"/>
          </w:tcPr>
          <w:p w14:paraId="31468DCF" w14:textId="0C0866A9" w:rsidR="005E3D29" w:rsidRPr="004F17B3" w:rsidRDefault="005E3D29" w:rsidP="004F17B3">
            <w:pPr>
              <w:kinsoku w:val="0"/>
              <w:overflowPunct w:val="0"/>
              <w:ind w:right="57"/>
              <w:jc w:val="center"/>
              <w:rPr>
                <w:rFonts w:ascii="Arial" w:hAnsi="Arial"/>
                <w:sz w:val="22"/>
              </w:rPr>
            </w:pPr>
            <w:r w:rsidRPr="004F17B3">
              <w:rPr>
                <w:rFonts w:ascii="Arial" w:hAnsi="Arial"/>
                <w:b/>
                <w:color w:val="FFFFFF"/>
                <w:sz w:val="22"/>
              </w:rPr>
              <w:t xml:space="preserve">Conflictos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/>
            </w:r>
            <w:r w:rsidRPr="004F17B3"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F17B3">
              <w:rPr>
                <w:rFonts w:ascii="Arial" w:hAnsi="Arial"/>
                <w:b/>
                <w:color w:val="FFFFFF"/>
                <w:sz w:val="22"/>
              </w:rPr>
              <w:t>trabajo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A6A2"/>
            <w:vAlign w:val="center"/>
          </w:tcPr>
          <w:p w14:paraId="7ABB10C4" w14:textId="77777777" w:rsidR="005E3D29" w:rsidRPr="004F17B3" w:rsidRDefault="005E3D29" w:rsidP="004F17B3">
            <w:pPr>
              <w:kinsoku w:val="0"/>
              <w:overflowPunct w:val="0"/>
              <w:ind w:left="140" w:right="57"/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4F17B3">
              <w:rPr>
                <w:rFonts w:ascii="Arial" w:hAnsi="Arial"/>
                <w:b/>
                <w:color w:val="FFFFFF"/>
                <w:sz w:val="22"/>
              </w:rPr>
              <w:t>Emplazamientos</w:t>
            </w:r>
          </w:p>
          <w:p w14:paraId="757F35D9" w14:textId="77777777" w:rsidR="005E3D29" w:rsidRPr="004F17B3" w:rsidRDefault="005E3D29" w:rsidP="004F17B3">
            <w:pPr>
              <w:kinsoku w:val="0"/>
              <w:overflowPunct w:val="0"/>
              <w:ind w:left="140" w:right="57"/>
              <w:jc w:val="center"/>
              <w:rPr>
                <w:rFonts w:ascii="Arial" w:hAnsi="Arial"/>
                <w:sz w:val="22"/>
              </w:rPr>
            </w:pPr>
            <w:r w:rsidRPr="004F17B3">
              <w:rPr>
                <w:rFonts w:ascii="Arial" w:hAnsi="Arial"/>
                <w:b/>
                <w:color w:val="FFFFFF"/>
                <w:sz w:val="22"/>
              </w:rPr>
              <w:t>a huelga</w:t>
            </w:r>
          </w:p>
        </w:tc>
      </w:tr>
      <w:tr w:rsidR="000779AF" w:rsidRPr="00650F43" w14:paraId="0205AD48" w14:textId="77777777" w:rsidTr="00F95A40">
        <w:trPr>
          <w:trHeight w:val="304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6EF30012" w14:textId="77777777" w:rsidR="005E3D29" w:rsidRPr="00F95A40" w:rsidRDefault="005E3D29" w:rsidP="000779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Estados Unidos Mexicanos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7B56A3D4" w14:textId="26FDEDAA" w:rsidR="005E3D29" w:rsidRPr="00F95A40" w:rsidRDefault="005E3D29" w:rsidP="000779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966C8D"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</w:t>
            </w:r>
            <w:r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6C8D"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07E2D9E4" w14:textId="12D1A05E" w:rsidR="005E3D29" w:rsidRPr="00F95A40" w:rsidRDefault="00A011CE" w:rsidP="009F31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138 420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24CDB0D5" w14:textId="5038DEDF" w:rsidR="005E3D29" w:rsidRPr="00F95A40" w:rsidRDefault="00CC0197" w:rsidP="000779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1D5112"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</w:tr>
      <w:tr w:rsidR="005E3D29" w:rsidRPr="00650F43" w14:paraId="15E32234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2ED544BA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Aguascalientes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46BA556F" w14:textId="55D781D5" w:rsidR="005E3D29" w:rsidRPr="00F95A40" w:rsidRDefault="00966C8D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011CE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756C6733" w14:textId="3A2649F2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5AC01499" w14:textId="2273F46E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779AF" w:rsidRPr="00650F43" w14:paraId="05C84B8D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45A3D897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Baja California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39B8FF6F" w14:textId="479CBDF2" w:rsidR="005E3D29" w:rsidRPr="00F95A40" w:rsidRDefault="00966C8D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A011CE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092C125B" w14:textId="69EF8FF2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7AC8D60B" w14:textId="6FA10C91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</w:tr>
      <w:tr w:rsidR="005E3D29" w:rsidRPr="00650F43" w14:paraId="4D82B285" w14:textId="77777777" w:rsidTr="00F95A40">
        <w:trPr>
          <w:trHeight w:hRule="exact" w:val="299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700714E5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Baja California Sur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5AB989A1" w14:textId="632FB72B" w:rsidR="005E3D29" w:rsidRPr="00F95A40" w:rsidRDefault="00966C8D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011CE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1AE1C9D2" w14:textId="267223B6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63083914" w14:textId="20813CFD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</w:tr>
      <w:tr w:rsidR="000779AF" w:rsidRPr="00650F43" w14:paraId="63181C58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A0774A1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Campeche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7B1215EF" w14:textId="3892C6B0" w:rsidR="005E3D29" w:rsidRPr="00F95A40" w:rsidRDefault="00966C8D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011CE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7FE05CAB" w14:textId="5817FEC4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5D500D39" w14:textId="190D8377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E3D29" w:rsidRPr="00650F43" w14:paraId="6B25F11C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2F04579A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Coahuila de Zaragoza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54A17D8B" w14:textId="71DD0E26" w:rsidR="005E3D29" w:rsidRPr="00F95A40" w:rsidRDefault="00966C8D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="00A011CE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525A2C17" w14:textId="03D0CD12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685A4C17" w14:textId="4A1BA919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</w:tr>
      <w:tr w:rsidR="000779AF" w:rsidRPr="00650F43" w14:paraId="14CA0D5E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99FA873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Colima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6D0DFF31" w14:textId="4874BB32" w:rsidR="005E3D29" w:rsidRPr="00F95A40" w:rsidRDefault="00966C8D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011CE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4D03FC93" w14:textId="006D4231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2CFD8452" w14:textId="17782D1A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5E3D29" w:rsidRPr="00650F43" w14:paraId="378242E0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266F7EE1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Chiapas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1E634C44" w14:textId="413E3C83" w:rsidR="005E3D29" w:rsidRPr="00F95A40" w:rsidRDefault="00966C8D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011CE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62718DF7" w14:textId="7C57D7BE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39601E96" w14:textId="215E70C5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779AF" w:rsidRPr="00650F43" w14:paraId="5C122D07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1B4C51CF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Chihuahua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59EB4225" w14:textId="0BA45525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13 164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31557E60" w14:textId="50FC9AAB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37DE0929" w14:textId="3F18F555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5E3D29" w:rsidRPr="00650F43" w14:paraId="18C18967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40565C28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Ciudad de México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4C1A329D" w14:textId="3A6320F8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14 538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241480D6" w14:textId="05C67BB3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419F5660" w14:textId="1757F632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1093</w:t>
            </w:r>
          </w:p>
        </w:tc>
      </w:tr>
      <w:tr w:rsidR="000779AF" w:rsidRPr="00650F43" w14:paraId="2C462E16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53C0F6CE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Durango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CC91421" w14:textId="07F48A3C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8 357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391600EB" w14:textId="7EF118DB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1C2E036D" w14:textId="429CD3A7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5E3D29" w:rsidRPr="00650F43" w14:paraId="5C727A19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1B62D265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Guanajuato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392E1C59" w14:textId="4B67E5DB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25 979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390249E4" w14:textId="2A8432E2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27D97537" w14:textId="16ACD330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0779AF" w:rsidRPr="00650F43" w14:paraId="58A27FC7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EC2F6FC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Guerrero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0889FC97" w14:textId="6BE9D607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11 051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30ABD492" w14:textId="2CA0CC10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C0197"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4B06A2DB" w14:textId="3B7D565B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5E3D29" w:rsidRPr="00650F43" w14:paraId="7DB3963B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6D0CD56C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Hidalgo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2064922A" w14:textId="04C4B1B9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2 749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4D480789" w14:textId="1C1215DA" w:rsidR="005E3D29" w:rsidRPr="00F95A40" w:rsidRDefault="00C338F5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5F55E809" w14:textId="4A229AF8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0779AF" w:rsidRPr="00650F43" w14:paraId="22D6841A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6D974406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Jalisco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5F199E47" w14:textId="08E2BE55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41 655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74D9EC9F" w14:textId="2FC151FD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14 915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67578001" w14:textId="2C9FED3E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E3D29" w:rsidRPr="00650F43" w14:paraId="30346C48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1A9695D7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México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1DFF1C05" w14:textId="7DAC7839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22 519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5EE2A728" w14:textId="26731806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6 258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3833A457" w14:textId="16D869C0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</w:tr>
      <w:tr w:rsidR="000779AF" w:rsidRPr="00650F43" w14:paraId="039D507D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662AD55A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Michoacán de Ocampo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1447DDAD" w14:textId="5C8D2F7F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3 211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40FF29E" w14:textId="286D721A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3 264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12DB56CA" w14:textId="73082AAA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</w:tr>
      <w:tr w:rsidR="005E3D29" w:rsidRPr="00650F43" w14:paraId="0856B0AF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45257B5D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Morelos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49FA8237" w14:textId="2F6400AA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5 536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2A62533F" w14:textId="09BF13B5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19205482" w14:textId="5D24F72F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0779AF" w:rsidRPr="00650F43" w14:paraId="4A23C352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00C4D88F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Nayarit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1AB49528" w14:textId="61BE06DE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1CCAE3A5" w14:textId="0263CC71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2E8BF431" w14:textId="6E2BAB3A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5E3D29" w:rsidRPr="00650F43" w14:paraId="43941F1B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5908F5DE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Nuevo León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47CD3C56" w14:textId="2A7A5852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13 857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27907E4B" w14:textId="49A6BBAE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13 069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6D49CEEC" w14:textId="1E1EE6EF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413</w:t>
            </w:r>
          </w:p>
        </w:tc>
      </w:tr>
      <w:tr w:rsidR="000779AF" w:rsidRPr="00650F43" w14:paraId="686B5970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47A33E4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Oaxaca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7F256693" w14:textId="329AFE1C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58DD10CF" w14:textId="7249A59F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33DAB555" w14:textId="42F5DC64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5E3D29" w:rsidRPr="00650F43" w14:paraId="35674D59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79531C8A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Puebla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047AC7D5" w14:textId="7F13341C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6 593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7550E6DB" w14:textId="1C7AD7A2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2 184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3BB54D67" w14:textId="4ECEAFC9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0779AF" w:rsidRPr="00650F43" w14:paraId="48977242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570F1C82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Querétaro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79C58482" w14:textId="1EC3225D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8 889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97974E6" w14:textId="2FAF2F07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2 103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33867731" w14:textId="6A3A9958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5E3D29" w:rsidRPr="00650F43" w14:paraId="76C192D0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7507378C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Quintana Roo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30EAF371" w14:textId="3F0A1DEE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3 662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4089FA03" w14:textId="6EABFCD3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1 262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08491544" w14:textId="25B43CEE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</w:tr>
      <w:tr w:rsidR="000779AF" w:rsidRPr="00650F43" w14:paraId="06900375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7B2A2FD8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San Luis Potosí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1C7A5C18" w14:textId="022B0CA1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12 269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1D2BCA7B" w14:textId="570F3053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1 808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34038848" w14:textId="0E923B66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5E3D29" w:rsidRPr="00650F43" w14:paraId="624E88BE" w14:textId="77777777" w:rsidTr="00F95A40">
        <w:trPr>
          <w:trHeight w:hRule="exact" w:val="299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5DE1560D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Sinaloa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28AF138E" w14:textId="489035CF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13 200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5F8DF877" w14:textId="7CBDBBC9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2 802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6481CAD0" w14:textId="25952743" w:rsidR="005E3D29" w:rsidRPr="00F95A40" w:rsidRDefault="001D5112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</w:tr>
      <w:tr w:rsidR="000779AF" w:rsidRPr="00650F43" w14:paraId="19327483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79E0D289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Sonora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40F9D917" w14:textId="5F6D1E51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37 105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4C0A22FE" w14:textId="15DA13D8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7 879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3BED49BC" w14:textId="0C719F72" w:rsidR="005E3D29" w:rsidRPr="00F95A40" w:rsidRDefault="001D5112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5E3D29" w:rsidRPr="00650F43" w14:paraId="5B7B8AA9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3FAC7672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Tabasco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5648B75F" w14:textId="7830EB47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7 107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3EAFAE0C" w14:textId="6A3808D4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2 045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74B4E9D5" w14:textId="49867778" w:rsidR="005E3D29" w:rsidRPr="00F95A40" w:rsidRDefault="001D5112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0779AF" w:rsidRPr="00650F43" w14:paraId="0FA59557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D836005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 xml:space="preserve">Tamaulipas 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24076580" w14:textId="07BF0B8A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13 823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4ACDB67E" w14:textId="02B7922C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3 291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50DED531" w14:textId="4CEF7998" w:rsidR="005E3D29" w:rsidRPr="00F95A40" w:rsidRDefault="001D5112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</w:tr>
      <w:tr w:rsidR="005E3D29" w:rsidRPr="00650F43" w14:paraId="6F2E8F77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5E5EEA98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Tlaxcala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7A5AA7B3" w14:textId="472A73A4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1 238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02E0801B" w14:textId="4B741D1A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799F4BDE" w14:textId="3FC546A4" w:rsidR="005E3D29" w:rsidRPr="00F95A40" w:rsidRDefault="001D5112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0779AF" w:rsidRPr="00650F43" w14:paraId="3F260E2D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6842B6E6" w14:textId="77E15AF5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Veracruz de Ignacio de la Llave</w:t>
            </w:r>
            <w:r w:rsidR="000519AF" w:rsidRPr="00F95A4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626F7A55" w14:textId="0F7E9462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shd w:val="clear" w:color="auto" w:fill="D5F7F6"/>
            <w:vAlign w:val="bottom"/>
          </w:tcPr>
          <w:p w14:paraId="69B4F47B" w14:textId="576F5DB3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1 781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shd w:val="clear" w:color="auto" w:fill="D5F7F6"/>
            <w:vAlign w:val="bottom"/>
          </w:tcPr>
          <w:p w14:paraId="5E13F836" w14:textId="184FD00F" w:rsidR="005E3D29" w:rsidRPr="00F95A40" w:rsidRDefault="001D5112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5E3D29" w:rsidRPr="00650F43" w14:paraId="3637F94C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2ED9D4"/>
              <w:right w:val="single" w:sz="4" w:space="0" w:color="auto"/>
            </w:tcBorders>
            <w:vAlign w:val="bottom"/>
          </w:tcPr>
          <w:p w14:paraId="31FAB708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Yucatán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7A4C69D8" w14:textId="42A3317F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16 493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auto"/>
            </w:tcBorders>
            <w:vAlign w:val="bottom"/>
          </w:tcPr>
          <w:p w14:paraId="60858FA8" w14:textId="666A9350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3 176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2ED9D4"/>
              <w:right w:val="single" w:sz="4" w:space="0" w:color="000000"/>
            </w:tcBorders>
            <w:vAlign w:val="bottom"/>
          </w:tcPr>
          <w:p w14:paraId="7EE51A89" w14:textId="5BE9C294" w:rsidR="005E3D29" w:rsidRPr="00F95A40" w:rsidRDefault="001D5112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779AF" w:rsidRPr="00650F43" w14:paraId="4CA8911B" w14:textId="77777777" w:rsidTr="00F95A40">
        <w:trPr>
          <w:trHeight w:hRule="exact" w:val="298"/>
        </w:trPr>
        <w:tc>
          <w:tcPr>
            <w:tcW w:w="3592" w:type="dxa"/>
            <w:tcBorders>
              <w:top w:val="single" w:sz="4" w:space="0" w:color="2ED9D4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F7F6"/>
            <w:vAlign w:val="bottom"/>
          </w:tcPr>
          <w:p w14:paraId="1C63B872" w14:textId="77777777" w:rsidR="005E3D29" w:rsidRPr="00F95A40" w:rsidRDefault="005E3D29" w:rsidP="00077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Zacatecas</w:t>
            </w:r>
          </w:p>
        </w:tc>
        <w:tc>
          <w:tcPr>
            <w:tcW w:w="2135" w:type="dxa"/>
            <w:tcBorders>
              <w:top w:val="single" w:sz="4" w:space="0" w:color="2ED9D4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F7F6"/>
            <w:vAlign w:val="bottom"/>
          </w:tcPr>
          <w:p w14:paraId="38A7AD1B" w14:textId="09AEA397" w:rsidR="005E3D29" w:rsidRPr="00F95A40" w:rsidRDefault="00A011CE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1 389</w:t>
            </w:r>
          </w:p>
        </w:tc>
        <w:tc>
          <w:tcPr>
            <w:tcW w:w="1848" w:type="dxa"/>
            <w:tcBorders>
              <w:top w:val="single" w:sz="4" w:space="0" w:color="2ED9D4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F7F6"/>
            <w:vAlign w:val="bottom"/>
          </w:tcPr>
          <w:p w14:paraId="13A8A76C" w14:textId="0096F449" w:rsidR="005E3D29" w:rsidRPr="00F95A40" w:rsidRDefault="00CC0197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2129" w:type="dxa"/>
            <w:tcBorders>
              <w:top w:val="single" w:sz="4" w:space="0" w:color="2ED9D4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F7F6"/>
            <w:vAlign w:val="bottom"/>
          </w:tcPr>
          <w:p w14:paraId="482BA011" w14:textId="26D8E6EA" w:rsidR="005E3D29" w:rsidRPr="00F95A40" w:rsidRDefault="001D5112" w:rsidP="00077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A4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</w:tbl>
    <w:p w14:paraId="0372E1B9" w14:textId="0FFD421D" w:rsidR="004070E3" w:rsidRPr="006A0882" w:rsidRDefault="004070E3" w:rsidP="009F31EA">
      <w:pPr>
        <w:pStyle w:val="Textoindependiente"/>
        <w:kinsoku w:val="0"/>
        <w:overflowPunct w:val="0"/>
        <w:ind w:left="709" w:right="39" w:hanging="607"/>
        <w:jc w:val="both"/>
        <w:rPr>
          <w:sz w:val="16"/>
          <w:szCs w:val="16"/>
        </w:rPr>
      </w:pPr>
      <w:r w:rsidRPr="006A0882">
        <w:rPr>
          <w:rFonts w:eastAsia="Times New Roman"/>
          <w:sz w:val="16"/>
          <w:szCs w:val="16"/>
          <w:vertAlign w:val="superscript"/>
        </w:rPr>
        <w:t>1</w:t>
      </w:r>
      <w:r w:rsidR="00EA3CA2">
        <w:rPr>
          <w:rFonts w:eastAsia="Times New Roman"/>
          <w:sz w:val="16"/>
          <w:szCs w:val="16"/>
          <w:vertAlign w:val="superscript"/>
        </w:rPr>
        <w:t>/</w:t>
      </w:r>
      <w:r w:rsidR="009F31EA">
        <w:rPr>
          <w:sz w:val="16"/>
          <w:szCs w:val="16"/>
        </w:rPr>
        <w:tab/>
      </w:r>
      <w:r w:rsidRPr="006A0882">
        <w:rPr>
          <w:sz w:val="16"/>
          <w:szCs w:val="16"/>
        </w:rPr>
        <w:t>E</w:t>
      </w:r>
      <w:r w:rsidRPr="006A0882">
        <w:rPr>
          <w:rStyle w:val="ui-provider"/>
          <w:sz w:val="16"/>
          <w:szCs w:val="16"/>
        </w:rPr>
        <w:t xml:space="preserve">l </w:t>
      </w:r>
      <w:r w:rsidR="003C28E8" w:rsidRPr="006A0882">
        <w:rPr>
          <w:rFonts w:eastAsia="Calibri"/>
          <w:sz w:val="16"/>
          <w:szCs w:val="16"/>
        </w:rPr>
        <w:t xml:space="preserve">Convenio de </w:t>
      </w:r>
      <w:r w:rsidR="00EA3CA2">
        <w:rPr>
          <w:rFonts w:eastAsia="Calibri"/>
          <w:sz w:val="16"/>
          <w:szCs w:val="16"/>
        </w:rPr>
        <w:t>c</w:t>
      </w:r>
      <w:r w:rsidR="003C28E8" w:rsidRPr="006A0882">
        <w:rPr>
          <w:rFonts w:eastAsia="Calibri"/>
          <w:sz w:val="16"/>
          <w:szCs w:val="16"/>
        </w:rPr>
        <w:t>olaboración para la captación de registros administrativos en materia de convenios de trabajo prejudiciales, celebrado entre el Centro de Conciliación Laboral de Veracruz de Ignacio de la Llave y el INEGI, se formalizó el 8 de diciembre de 2022. La información objeto del convenio</w:t>
      </w:r>
      <w:r w:rsidR="00EA3CA2">
        <w:rPr>
          <w:rFonts w:eastAsia="Calibri"/>
          <w:sz w:val="16"/>
          <w:szCs w:val="16"/>
        </w:rPr>
        <w:t xml:space="preserve"> se </w:t>
      </w:r>
      <w:r w:rsidR="003C28E8" w:rsidRPr="006A0882">
        <w:rPr>
          <w:rFonts w:eastAsia="Calibri"/>
          <w:sz w:val="16"/>
          <w:szCs w:val="16"/>
        </w:rPr>
        <w:t xml:space="preserve">entrega a partir </w:t>
      </w:r>
      <w:r w:rsidR="001726D5" w:rsidRPr="006A0882">
        <w:rPr>
          <w:rFonts w:eastAsia="Calibri"/>
          <w:sz w:val="16"/>
          <w:szCs w:val="16"/>
        </w:rPr>
        <w:t xml:space="preserve">de </w:t>
      </w:r>
      <w:r w:rsidR="003C28E8" w:rsidRPr="006A0882">
        <w:rPr>
          <w:rFonts w:eastAsia="Calibri"/>
          <w:sz w:val="16"/>
          <w:szCs w:val="16"/>
        </w:rPr>
        <w:t xml:space="preserve">enero de 2023. Derivado de lo anterior, la edición 2022 del programa carece </w:t>
      </w:r>
      <w:r w:rsidR="00085844" w:rsidRPr="006A0882">
        <w:rPr>
          <w:rFonts w:eastAsia="Calibri"/>
          <w:sz w:val="16"/>
          <w:szCs w:val="16"/>
        </w:rPr>
        <w:t>de información sobre los convenios de trabajo prejudiciales celebrados en Veracruz durante ese año</w:t>
      </w:r>
      <w:r w:rsidR="003C28E8" w:rsidRPr="006A0882">
        <w:rPr>
          <w:rFonts w:eastAsia="Calibri"/>
          <w:sz w:val="16"/>
          <w:szCs w:val="16"/>
        </w:rPr>
        <w:t>.</w:t>
      </w:r>
    </w:p>
    <w:p w14:paraId="57A3533A" w14:textId="77777777" w:rsidR="003B1E7C" w:rsidRPr="002D0ED8" w:rsidRDefault="003B1E7C" w:rsidP="003C28E8">
      <w:pPr>
        <w:kinsoku w:val="0"/>
        <w:overflowPunct w:val="0"/>
        <w:ind w:right="504" w:firstLine="142"/>
        <w:rPr>
          <w:rFonts w:ascii="Arial" w:eastAsia="Times New Roman" w:hAnsi="Arial" w:cs="Arial"/>
          <w:sz w:val="4"/>
          <w:szCs w:val="4"/>
        </w:rPr>
      </w:pPr>
    </w:p>
    <w:p w14:paraId="15880743" w14:textId="0465FCE3" w:rsidR="005A6C0C" w:rsidRPr="006A0882" w:rsidRDefault="003B315E" w:rsidP="003C28E8">
      <w:pPr>
        <w:kinsoku w:val="0"/>
        <w:overflowPunct w:val="0"/>
        <w:ind w:right="504" w:firstLine="142"/>
        <w:rPr>
          <w:rFonts w:ascii="Arial" w:eastAsia="Times New Roman" w:hAnsi="Arial" w:cs="Arial"/>
          <w:sz w:val="16"/>
          <w:szCs w:val="16"/>
        </w:rPr>
      </w:pPr>
      <w:r w:rsidRPr="006A0882">
        <w:rPr>
          <w:rFonts w:ascii="Arial" w:eastAsia="Times New Roman" w:hAnsi="Arial" w:cs="Arial"/>
          <w:sz w:val="16"/>
          <w:szCs w:val="16"/>
        </w:rPr>
        <w:t>Fuente:</w:t>
      </w:r>
      <w:r w:rsidRPr="006A0882">
        <w:rPr>
          <w:rFonts w:ascii="Arial" w:eastAsia="Times New Roman" w:hAnsi="Arial" w:cs="Arial"/>
          <w:sz w:val="16"/>
          <w:szCs w:val="16"/>
        </w:rPr>
        <w:tab/>
        <w:t xml:space="preserve">INEGI. Estadísticas sobre Relaciones Laborales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 w:rsidRPr="006A0882">
        <w:rPr>
          <w:rFonts w:ascii="Arial" w:eastAsia="Times New Roman" w:hAnsi="Arial" w:cs="Arial"/>
          <w:sz w:val="16"/>
          <w:szCs w:val="16"/>
        </w:rPr>
        <w:t>2022</w:t>
      </w:r>
    </w:p>
    <w:p w14:paraId="537541EE" w14:textId="2E74B154" w:rsidR="00667A0A" w:rsidRPr="009F31EA" w:rsidRDefault="005A6C0C" w:rsidP="009F31E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3C28E8">
        <w:rPr>
          <w:rFonts w:eastAsia="Times New Roman"/>
          <w:sz w:val="16"/>
          <w:szCs w:val="16"/>
        </w:rPr>
        <w:br w:type="page"/>
      </w:r>
      <w:r w:rsidR="00976BAE" w:rsidRPr="009F31EA">
        <w:rPr>
          <w:sz w:val="20"/>
          <w:szCs w:val="20"/>
        </w:rPr>
        <w:lastRenderedPageBreak/>
        <w:t>Tabla 2</w:t>
      </w:r>
    </w:p>
    <w:p w14:paraId="4A5E13E4" w14:textId="01DDF9A7" w:rsidR="009F31EA" w:rsidRPr="00EA3CA2" w:rsidRDefault="00353452" w:rsidP="009F31EA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F95A40">
        <w:rPr>
          <w:b/>
          <w:smallCaps/>
          <w:sz w:val="22"/>
          <w:szCs w:val="22"/>
        </w:rPr>
        <w:t>Conflictos de trabajo de jurisdicción local</w:t>
      </w:r>
      <w:r w:rsidR="00BA49D5">
        <w:rPr>
          <w:b/>
          <w:smallCaps/>
          <w:sz w:val="22"/>
          <w:szCs w:val="22"/>
        </w:rPr>
        <w:t>, según</w:t>
      </w:r>
      <w:r w:rsidR="00976BAE" w:rsidRPr="00F95A40">
        <w:rPr>
          <w:b/>
          <w:smallCaps/>
          <w:sz w:val="22"/>
          <w:szCs w:val="22"/>
        </w:rPr>
        <w:t xml:space="preserve"> sector de actividad</w:t>
      </w:r>
      <w:r w:rsidR="00D06E85">
        <w:rPr>
          <w:b/>
          <w:smallCaps/>
          <w:sz w:val="22"/>
          <w:szCs w:val="22"/>
        </w:rPr>
        <w:t xml:space="preserve"> económica</w:t>
      </w:r>
    </w:p>
    <w:p w14:paraId="162DEDD8" w14:textId="0E146AB6" w:rsidR="009F31EA" w:rsidRPr="00F95A40" w:rsidRDefault="009F31EA" w:rsidP="009F31EA">
      <w:pPr>
        <w:pStyle w:val="Textoindependiente"/>
        <w:keepNext/>
        <w:kinsoku w:val="0"/>
        <w:overflowPunct w:val="0"/>
        <w:ind w:left="0"/>
        <w:jc w:val="center"/>
        <w:rPr>
          <w:b/>
          <w:sz w:val="20"/>
          <w:szCs w:val="22"/>
        </w:rPr>
      </w:pPr>
      <w:r w:rsidRPr="00F95A40">
        <w:rPr>
          <w:bCs/>
          <w:sz w:val="20"/>
          <w:szCs w:val="18"/>
        </w:rPr>
        <w:t>2022</w:t>
      </w:r>
    </w:p>
    <w:tbl>
      <w:tblPr>
        <w:tblStyle w:val="Tabladecuadrcula4-nfasis21"/>
        <w:tblW w:w="0" w:type="auto"/>
        <w:tblLook w:val="04A0" w:firstRow="1" w:lastRow="0" w:firstColumn="1" w:lastColumn="0" w:noHBand="0" w:noVBand="1"/>
      </w:tblPr>
      <w:tblGrid>
        <w:gridCol w:w="8217"/>
        <w:gridCol w:w="1559"/>
      </w:tblGrid>
      <w:tr w:rsidR="00705523" w:rsidRPr="00976BAE" w14:paraId="3729BEF2" w14:textId="77777777" w:rsidTr="00AB0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3A6A2"/>
              <w:left w:val="single" w:sz="4" w:space="0" w:color="23A6A2"/>
              <w:bottom w:val="nil"/>
            </w:tcBorders>
            <w:shd w:val="clear" w:color="auto" w:fill="23A6A2"/>
            <w:vAlign w:val="center"/>
          </w:tcPr>
          <w:p w14:paraId="6816B57E" w14:textId="77777777" w:rsidR="00705523" w:rsidRPr="00976BAE" w:rsidRDefault="00705523" w:rsidP="000779AF">
            <w:pPr>
              <w:rPr>
                <w:rFonts w:ascii="Arial" w:hAnsi="Arial" w:cs="Arial"/>
              </w:rPr>
            </w:pPr>
            <w:r w:rsidRPr="00976BAE">
              <w:rPr>
                <w:rFonts w:ascii="Arial" w:hAnsi="Arial" w:cs="Arial"/>
              </w:rPr>
              <w:t>Sector de actividad</w:t>
            </w:r>
          </w:p>
        </w:tc>
        <w:tc>
          <w:tcPr>
            <w:tcW w:w="1559" w:type="dxa"/>
            <w:tcBorders>
              <w:top w:val="single" w:sz="4" w:space="0" w:color="23A6A2"/>
              <w:bottom w:val="nil"/>
              <w:right w:val="single" w:sz="4" w:space="0" w:color="23A6A2"/>
            </w:tcBorders>
            <w:shd w:val="clear" w:color="auto" w:fill="23A6A2"/>
            <w:vAlign w:val="center"/>
          </w:tcPr>
          <w:p w14:paraId="4A3D927E" w14:textId="1F89983C" w:rsidR="00705523" w:rsidRPr="00976BAE" w:rsidRDefault="00705523" w:rsidP="00AB0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BAE">
              <w:rPr>
                <w:rFonts w:ascii="Arial" w:hAnsi="Arial" w:cs="Arial"/>
              </w:rPr>
              <w:t>202</w:t>
            </w:r>
            <w:r w:rsidR="005A6C0C">
              <w:rPr>
                <w:rFonts w:ascii="Arial" w:hAnsi="Arial" w:cs="Arial"/>
              </w:rPr>
              <w:t>2</w:t>
            </w:r>
          </w:p>
        </w:tc>
      </w:tr>
      <w:tr w:rsidR="00705523" w:rsidRPr="00976BAE" w14:paraId="233FDD9F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nil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578F1537" w14:textId="77777777" w:rsidR="00705523" w:rsidRPr="00976BAE" w:rsidRDefault="00705523" w:rsidP="000779AF">
            <w:pPr>
              <w:spacing w:before="60" w:after="60"/>
              <w:rPr>
                <w:rFonts w:ascii="Arial" w:hAnsi="Arial" w:cs="Arial"/>
              </w:rPr>
            </w:pPr>
            <w:r w:rsidRPr="00976BAE">
              <w:rPr>
                <w:rFonts w:ascii="Arial" w:hAnsi="Arial" w:cs="Arial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272DCDE0" w14:textId="77D72C11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138 420</w:t>
            </w:r>
          </w:p>
        </w:tc>
      </w:tr>
      <w:tr w:rsidR="00705523" w:rsidRPr="00976BAE" w14:paraId="7BD116D4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6425EF08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Agricultura, ganadería, aprovechamiento forestal, pesca y caza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1E4FF0AE" w14:textId="7326CD14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</w:t>
            </w:r>
          </w:p>
        </w:tc>
      </w:tr>
      <w:tr w:rsidR="00705523" w:rsidRPr="00976BAE" w14:paraId="1BF0D3E6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1F65B822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Minería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1C55A03C" w14:textId="33945F14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705523" w:rsidRPr="00976BAE" w14:paraId="3D80F911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00FDD794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Extracción de petróleo y gas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25440503" w14:textId="31D30A33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705523" w:rsidRPr="00976BAE" w14:paraId="04CBABC6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17DFD044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 xml:space="preserve">Electricidad y agua 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00457CA6" w14:textId="0CA98563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</w:t>
            </w:r>
          </w:p>
        </w:tc>
      </w:tr>
      <w:tr w:rsidR="00705523" w:rsidRPr="00976BAE" w14:paraId="26AD1824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148978A4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Construcción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78E5E5C8" w14:textId="32966EF4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6 909</w:t>
            </w:r>
          </w:p>
        </w:tc>
      </w:tr>
      <w:tr w:rsidR="00705523" w:rsidRPr="00976BAE" w14:paraId="0A0073C8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5983DD4A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Industrias manufactureras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32CD5346" w14:textId="502B55B0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15 635</w:t>
            </w:r>
          </w:p>
        </w:tc>
      </w:tr>
      <w:tr w:rsidR="00705523" w:rsidRPr="00976BAE" w14:paraId="6BF8BE8F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4E6680D8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Comercio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4D69B95B" w14:textId="298332FB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30 750</w:t>
            </w:r>
          </w:p>
        </w:tc>
      </w:tr>
      <w:tr w:rsidR="00705523" w:rsidRPr="00976BAE" w14:paraId="52FA373B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40B3605F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Transportes, correos y almacenamiento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3C84F00F" w14:textId="29478C32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8 333</w:t>
            </w:r>
          </w:p>
        </w:tc>
      </w:tr>
      <w:tr w:rsidR="00705523" w:rsidRPr="00976BAE" w14:paraId="4378F92E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6425ACB8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Información en medios masivos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14600A54" w14:textId="38DA18CE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2 062</w:t>
            </w:r>
          </w:p>
        </w:tc>
      </w:tr>
      <w:tr w:rsidR="00705523" w:rsidRPr="00976BAE" w14:paraId="4EB96B3F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12FC2A30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Servicios financieros y de seguros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6EEB2A0F" w14:textId="21F66AFC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3 147</w:t>
            </w:r>
          </w:p>
        </w:tc>
      </w:tr>
      <w:tr w:rsidR="00705523" w:rsidRPr="00976BAE" w14:paraId="239A8F3D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3A543C02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Servicios inmobiliarios y de alquiler de bienes inmuebles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4C8EF6B0" w14:textId="0572F85A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1 986</w:t>
            </w:r>
          </w:p>
        </w:tc>
      </w:tr>
      <w:tr w:rsidR="00705523" w:rsidRPr="00976BAE" w14:paraId="43CEF372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7B75CDB4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Servicios profesionales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71617B95" w14:textId="26AE4E04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5 862</w:t>
            </w:r>
          </w:p>
        </w:tc>
      </w:tr>
      <w:tr w:rsidR="00705523" w:rsidRPr="00976BAE" w14:paraId="51F5B350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755E410A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Dirección de corporativos y empresas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3BF21AAA" w14:textId="04761ED3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705523" w:rsidRPr="00976BAE" w14:paraId="56B82E1D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59ECEFCF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Servicio de apoyo a los negocios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71B8B9AE" w14:textId="07F3C793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20 724</w:t>
            </w:r>
          </w:p>
        </w:tc>
      </w:tr>
      <w:tr w:rsidR="00705523" w:rsidRPr="00976BAE" w14:paraId="22157EA7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72CDE992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Servicios educativos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60867A7A" w14:textId="2E3BF6E5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4 312</w:t>
            </w:r>
          </w:p>
        </w:tc>
      </w:tr>
      <w:tr w:rsidR="00705523" w:rsidRPr="00976BAE" w14:paraId="3ADF64CA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2DA88876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Servicios de salud y asistencia social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3587EEC2" w14:textId="4D7B7446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3 237</w:t>
            </w:r>
          </w:p>
        </w:tc>
      </w:tr>
      <w:tr w:rsidR="00705523" w:rsidRPr="00976BAE" w14:paraId="42F2C5E0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272A6AD5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Servicios de esparcimiento y culturales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215131DE" w14:textId="14288D68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1 286</w:t>
            </w:r>
          </w:p>
        </w:tc>
      </w:tr>
      <w:tr w:rsidR="00705523" w:rsidRPr="00976BAE" w14:paraId="69473753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769DED00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Servicios de hoteles y restaurantes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239A15E8" w14:textId="72C57870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9 604</w:t>
            </w:r>
          </w:p>
        </w:tc>
      </w:tr>
      <w:tr w:rsidR="00705523" w:rsidRPr="00976BAE" w14:paraId="316E1A32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vAlign w:val="center"/>
          </w:tcPr>
          <w:p w14:paraId="6C226762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Otros servicios, excepto actividades del gobierno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vAlign w:val="center"/>
          </w:tcPr>
          <w:p w14:paraId="7EE4FA95" w14:textId="1CAA6098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8 694</w:t>
            </w:r>
          </w:p>
        </w:tc>
      </w:tr>
      <w:tr w:rsidR="00705523" w:rsidRPr="00976BAE" w14:paraId="47510C4D" w14:textId="77777777" w:rsidTr="00AB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ED9D4"/>
              <w:right w:val="single" w:sz="4" w:space="0" w:color="2ED9D4"/>
            </w:tcBorders>
            <w:shd w:val="clear" w:color="auto" w:fill="D5F7F6"/>
            <w:vAlign w:val="center"/>
          </w:tcPr>
          <w:p w14:paraId="67EFB193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Actividades del gobierno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ED9D4"/>
              <w:right w:val="single" w:sz="4" w:space="0" w:color="23A6A2"/>
            </w:tcBorders>
            <w:shd w:val="clear" w:color="auto" w:fill="D5F7F6"/>
            <w:vAlign w:val="center"/>
          </w:tcPr>
          <w:p w14:paraId="717C4431" w14:textId="4F485D17" w:rsidR="00705523" w:rsidRPr="00976BAE" w:rsidRDefault="001D5112" w:rsidP="000779AF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2 389</w:t>
            </w:r>
          </w:p>
        </w:tc>
      </w:tr>
      <w:tr w:rsidR="00705523" w:rsidRPr="00976BAE" w14:paraId="786DEA51" w14:textId="77777777" w:rsidTr="00AB0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4" w:space="0" w:color="2ED9D4"/>
              <w:left w:val="single" w:sz="4" w:space="0" w:color="23A6A2"/>
              <w:bottom w:val="single" w:sz="4" w:space="0" w:color="23A6A2"/>
              <w:right w:val="single" w:sz="4" w:space="0" w:color="2ED9D4"/>
            </w:tcBorders>
            <w:vAlign w:val="center"/>
          </w:tcPr>
          <w:p w14:paraId="0B51D399" w14:textId="77777777" w:rsidR="00705523" w:rsidRPr="00976BAE" w:rsidRDefault="00705523" w:rsidP="000779AF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b w:val="0"/>
              </w:rPr>
            </w:pPr>
            <w:r w:rsidRPr="00976BAE">
              <w:rPr>
                <w:rFonts w:ascii="Arial" w:hAnsi="Arial" w:cs="Arial"/>
                <w:b w:val="0"/>
              </w:rPr>
              <w:t>No especificado</w:t>
            </w:r>
          </w:p>
        </w:tc>
        <w:tc>
          <w:tcPr>
            <w:tcW w:w="1559" w:type="dxa"/>
            <w:tcBorders>
              <w:top w:val="single" w:sz="4" w:space="0" w:color="2ED9D4"/>
              <w:left w:val="single" w:sz="4" w:space="0" w:color="2ED9D4"/>
              <w:bottom w:val="single" w:sz="4" w:space="0" w:color="23A6A2"/>
              <w:right w:val="single" w:sz="4" w:space="0" w:color="23A6A2"/>
            </w:tcBorders>
            <w:vAlign w:val="center"/>
          </w:tcPr>
          <w:p w14:paraId="5D2F3E17" w14:textId="26282C33" w:rsidR="00705523" w:rsidRPr="00976BAE" w:rsidRDefault="001D5112" w:rsidP="000779AF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11 141</w:t>
            </w:r>
          </w:p>
        </w:tc>
      </w:tr>
    </w:tbl>
    <w:p w14:paraId="76143D8B" w14:textId="3BBF281A" w:rsidR="00976BAE" w:rsidRDefault="00976BAE" w:rsidP="009F31EA">
      <w:pPr>
        <w:kinsoku w:val="0"/>
        <w:overflowPunct w:val="0"/>
        <w:spacing w:before="60"/>
        <w:ind w:left="567" w:hanging="567"/>
        <w:rPr>
          <w:rFonts w:ascii="Arial" w:hAnsi="Arial" w:cs="Arial"/>
          <w:sz w:val="16"/>
          <w:szCs w:val="16"/>
        </w:rPr>
      </w:pPr>
      <w:r w:rsidRPr="009C3ECE">
        <w:rPr>
          <w:rFonts w:ascii="Arial" w:hAnsi="Arial" w:cs="Arial"/>
          <w:sz w:val="16"/>
          <w:szCs w:val="16"/>
        </w:rPr>
        <w:t>Nota:</w:t>
      </w:r>
      <w:r w:rsidR="009F31EA">
        <w:rPr>
          <w:rFonts w:ascii="Arial" w:hAnsi="Arial" w:cs="Arial"/>
          <w:sz w:val="16"/>
          <w:szCs w:val="16"/>
        </w:rPr>
        <w:tab/>
      </w:r>
      <w:r w:rsidRPr="009C3ECE">
        <w:rPr>
          <w:rFonts w:ascii="Arial" w:hAnsi="Arial" w:cs="Arial"/>
          <w:sz w:val="16"/>
          <w:szCs w:val="16"/>
        </w:rPr>
        <w:t>Comprende conflictos individuales y colectivos</w:t>
      </w:r>
      <w:r w:rsidR="00D06E85">
        <w:rPr>
          <w:rFonts w:ascii="Arial" w:hAnsi="Arial" w:cs="Arial"/>
          <w:sz w:val="16"/>
          <w:szCs w:val="16"/>
        </w:rPr>
        <w:t>.</w:t>
      </w:r>
    </w:p>
    <w:p w14:paraId="2CA721AC" w14:textId="53050C19" w:rsidR="005A6C0C" w:rsidRDefault="005A6C0C" w:rsidP="005A6C0C">
      <w:pPr>
        <w:kinsoku w:val="0"/>
        <w:overflowPunct w:val="0"/>
        <w:spacing w:after="240"/>
        <w:ind w:left="567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2A56B7BD" w14:textId="77777777" w:rsidR="00976BAE" w:rsidRDefault="00976BAE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br w:type="page"/>
      </w:r>
    </w:p>
    <w:p w14:paraId="45F2B09E" w14:textId="77777777" w:rsidR="00383B5E" w:rsidRPr="009F31EA" w:rsidRDefault="00383B5E" w:rsidP="009F31E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 w:rsidRPr="009F31EA">
        <w:rPr>
          <w:sz w:val="20"/>
          <w:szCs w:val="20"/>
        </w:rPr>
        <w:lastRenderedPageBreak/>
        <w:t>Gráfica 1</w:t>
      </w:r>
    </w:p>
    <w:p w14:paraId="5F84B57D" w14:textId="42AA148F" w:rsidR="00976BAE" w:rsidRPr="00774F63" w:rsidRDefault="00BA49D5" w:rsidP="00976BAE">
      <w:pPr>
        <w:pStyle w:val="Textoindependiente"/>
        <w:kinsoku w:val="0"/>
        <w:overflowPunct w:val="0"/>
        <w:ind w:left="0"/>
        <w:jc w:val="center"/>
        <w:rPr>
          <w:rFonts w:ascii="Arial Negrita" w:hAnsi="Arial Negrita"/>
          <w:b/>
          <w:smallCaps/>
          <w:sz w:val="22"/>
          <w:szCs w:val="22"/>
        </w:rPr>
      </w:pPr>
      <w:r>
        <w:rPr>
          <w:rFonts w:ascii="Arial Negrita" w:hAnsi="Arial Negrita"/>
          <w:b/>
          <w:smallCaps/>
          <w:sz w:val="22"/>
          <w:szCs w:val="22"/>
        </w:rPr>
        <w:t>C</w:t>
      </w:r>
      <w:r w:rsidR="00976BAE">
        <w:rPr>
          <w:rFonts w:ascii="Arial Negrita" w:hAnsi="Arial Negrita"/>
          <w:b/>
          <w:smallCaps/>
          <w:sz w:val="22"/>
          <w:szCs w:val="22"/>
        </w:rPr>
        <w:t>onvenios de</w:t>
      </w:r>
      <w:r w:rsidR="00976BAE" w:rsidRPr="00774F63">
        <w:rPr>
          <w:rFonts w:ascii="Arial Negrita" w:hAnsi="Arial Negrita"/>
          <w:b/>
          <w:smallCaps/>
          <w:sz w:val="22"/>
          <w:szCs w:val="22"/>
        </w:rPr>
        <w:t xml:space="preserve"> trabajo </w:t>
      </w:r>
      <w:r w:rsidR="00976BAE">
        <w:rPr>
          <w:rFonts w:ascii="Arial Negrita" w:hAnsi="Arial Negrita"/>
          <w:b/>
          <w:smallCaps/>
          <w:sz w:val="22"/>
          <w:szCs w:val="22"/>
        </w:rPr>
        <w:t>prejudiciales</w:t>
      </w:r>
      <w:r>
        <w:rPr>
          <w:rFonts w:ascii="Arial Negrita" w:hAnsi="Arial Negrita"/>
          <w:b/>
          <w:smallCaps/>
          <w:sz w:val="22"/>
          <w:szCs w:val="22"/>
        </w:rPr>
        <w:t>, según</w:t>
      </w:r>
      <w:r w:rsidR="00976BAE" w:rsidRPr="00774F63">
        <w:rPr>
          <w:rFonts w:ascii="Arial Negrita" w:hAnsi="Arial Negrita"/>
          <w:b/>
          <w:smallCaps/>
          <w:sz w:val="22"/>
          <w:szCs w:val="22"/>
        </w:rPr>
        <w:t xml:space="preserve"> </w:t>
      </w:r>
      <w:r w:rsidR="00976BAE">
        <w:rPr>
          <w:rFonts w:ascii="Arial Negrita" w:hAnsi="Arial Negrita"/>
          <w:b/>
          <w:smallCaps/>
          <w:sz w:val="22"/>
          <w:szCs w:val="22"/>
        </w:rPr>
        <w:t>entidad federativa</w:t>
      </w:r>
    </w:p>
    <w:p w14:paraId="2B832FC6" w14:textId="164C1A0D" w:rsidR="005065DC" w:rsidRPr="00F95A40" w:rsidRDefault="002545FA" w:rsidP="002545FA">
      <w:pPr>
        <w:pStyle w:val="Textoindependiente"/>
        <w:keepNext/>
        <w:kinsoku w:val="0"/>
        <w:overflowPunct w:val="0"/>
        <w:ind w:left="0"/>
        <w:jc w:val="center"/>
        <w:rPr>
          <w:bCs/>
          <w:sz w:val="20"/>
          <w:szCs w:val="20"/>
        </w:rPr>
      </w:pPr>
      <w:r w:rsidRPr="00F95A40">
        <w:rPr>
          <w:bCs/>
          <w:sz w:val="20"/>
          <w:szCs w:val="20"/>
        </w:rPr>
        <w:t>2022</w:t>
      </w:r>
    </w:p>
    <w:p w14:paraId="64B863D9" w14:textId="6502C15D" w:rsidR="00EA3CA2" w:rsidRPr="00F95A40" w:rsidRDefault="00EA3CA2" w:rsidP="002545FA">
      <w:pPr>
        <w:pStyle w:val="Textoindependiente"/>
        <w:keepNext/>
        <w:kinsoku w:val="0"/>
        <w:overflowPunct w:val="0"/>
        <w:ind w:left="0"/>
        <w:jc w:val="center"/>
        <w:rPr>
          <w:sz w:val="18"/>
          <w:szCs w:val="18"/>
        </w:rPr>
      </w:pPr>
      <w:r w:rsidRPr="00F95A40">
        <w:rPr>
          <w:bCs/>
          <w:sz w:val="18"/>
          <w:szCs w:val="18"/>
        </w:rPr>
        <w:t>(Distribución porcentual)</w:t>
      </w:r>
    </w:p>
    <w:p w14:paraId="62CC8F8D" w14:textId="7CD9CB87" w:rsidR="00B85854" w:rsidRDefault="00AE2606" w:rsidP="00976BAE">
      <w:pPr>
        <w:kinsoku w:val="0"/>
        <w:overflowPunct w:val="0"/>
        <w:rPr>
          <w:rFonts w:ascii="Arial" w:eastAsia="Times New Roman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A6207A8" wp14:editId="21BC3801">
            <wp:extent cx="6235700" cy="6018028"/>
            <wp:effectExtent l="0" t="0" r="0" b="1905"/>
            <wp:docPr id="79512129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4DBD038-C764-44EA-ADA5-648A779CDC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0DBE982" w14:textId="13496AA0" w:rsidR="00A531CB" w:rsidRDefault="00AE2606" w:rsidP="009F31EA">
      <w:pPr>
        <w:pStyle w:val="Textoindependiente"/>
        <w:kinsoku w:val="0"/>
        <w:overflowPunct w:val="0"/>
        <w:spacing w:before="120"/>
        <w:ind w:left="709" w:right="40" w:hanging="567"/>
        <w:jc w:val="both"/>
        <w:rPr>
          <w:rFonts w:eastAsia="Calibri"/>
          <w:sz w:val="16"/>
          <w:szCs w:val="16"/>
        </w:rPr>
      </w:pPr>
      <w:r>
        <w:rPr>
          <w:rFonts w:eastAsia="Times New Roman"/>
          <w:sz w:val="16"/>
          <w:szCs w:val="16"/>
          <w:vertAlign w:val="superscript"/>
        </w:rPr>
        <w:t>1</w:t>
      </w:r>
      <w:r w:rsidR="009F31EA">
        <w:rPr>
          <w:sz w:val="16"/>
          <w:szCs w:val="16"/>
        </w:rPr>
        <w:tab/>
      </w:r>
      <w:proofErr w:type="gramStart"/>
      <w:r w:rsidR="00A531CB" w:rsidRPr="00A531CB">
        <w:rPr>
          <w:sz w:val="16"/>
          <w:szCs w:val="16"/>
        </w:rPr>
        <w:t>E</w:t>
      </w:r>
      <w:r w:rsidR="00A531CB" w:rsidRPr="00A531CB">
        <w:rPr>
          <w:rStyle w:val="ui-provider"/>
          <w:sz w:val="16"/>
          <w:szCs w:val="16"/>
        </w:rPr>
        <w:t>l</w:t>
      </w:r>
      <w:proofErr w:type="gramEnd"/>
      <w:r w:rsidR="00A531CB" w:rsidRPr="00A531CB">
        <w:rPr>
          <w:rStyle w:val="ui-provider"/>
          <w:sz w:val="16"/>
          <w:szCs w:val="16"/>
        </w:rPr>
        <w:t xml:space="preserve"> </w:t>
      </w:r>
      <w:r w:rsidR="00A531CB" w:rsidRPr="00A531CB">
        <w:rPr>
          <w:rFonts w:eastAsia="Calibri"/>
          <w:sz w:val="16"/>
          <w:szCs w:val="16"/>
        </w:rPr>
        <w:t xml:space="preserve">Convenio de </w:t>
      </w:r>
      <w:r w:rsidR="00BA49D5">
        <w:rPr>
          <w:rFonts w:eastAsia="Calibri"/>
          <w:sz w:val="16"/>
          <w:szCs w:val="16"/>
        </w:rPr>
        <w:t>c</w:t>
      </w:r>
      <w:r w:rsidR="00A531CB" w:rsidRPr="00A531CB">
        <w:rPr>
          <w:rFonts w:eastAsia="Calibri"/>
          <w:sz w:val="16"/>
          <w:szCs w:val="16"/>
        </w:rPr>
        <w:t>olaboración para la captación de registros administrativos en materia de convenios de trabajo prejudiciales, celebrado entre el Centro de Conciliación Laboral de Veracruz de Ignacio de la Llave y el INEGI, se formalizó el 8 de diciembre de 2022. La información objeto del conveni</w:t>
      </w:r>
      <w:r w:rsidR="00BA49D5">
        <w:rPr>
          <w:rFonts w:eastAsia="Calibri"/>
          <w:sz w:val="16"/>
          <w:szCs w:val="16"/>
        </w:rPr>
        <w:t xml:space="preserve">o se </w:t>
      </w:r>
      <w:r w:rsidR="00A531CB" w:rsidRPr="00A531CB">
        <w:rPr>
          <w:rFonts w:eastAsia="Calibri"/>
          <w:sz w:val="16"/>
          <w:szCs w:val="16"/>
        </w:rPr>
        <w:t>entrega a partir de enero de 2023. Derivado de lo anterior, la edición 2022 del programa carece de información sobre los convenios de trabajo prejudiciales celebrados en Veracruz durante ese año.</w:t>
      </w:r>
    </w:p>
    <w:p w14:paraId="30DF8F0B" w14:textId="33166470" w:rsidR="003B315E" w:rsidRPr="00B57FAC" w:rsidRDefault="003B315E" w:rsidP="009F31EA">
      <w:pPr>
        <w:kinsoku w:val="0"/>
        <w:overflowPunct w:val="0"/>
        <w:spacing w:after="240"/>
        <w:ind w:left="709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 w:rsidR="009F31EA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0A6E7F66" w14:textId="15502FE9" w:rsidR="00383B5E" w:rsidRPr="009F31EA" w:rsidRDefault="003B315E" w:rsidP="009F31E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mallCaps/>
          <w:sz w:val="20"/>
          <w:szCs w:val="20"/>
        </w:rPr>
        <w:br w:type="page"/>
      </w:r>
      <w:r w:rsidR="007C0016" w:rsidRPr="009F31EA">
        <w:rPr>
          <w:sz w:val="20"/>
          <w:szCs w:val="20"/>
        </w:rPr>
        <w:lastRenderedPageBreak/>
        <w:t>M</w:t>
      </w:r>
      <w:r w:rsidR="009F31EA" w:rsidRPr="009F31EA">
        <w:rPr>
          <w:sz w:val="20"/>
          <w:szCs w:val="20"/>
        </w:rPr>
        <w:t>apa</w:t>
      </w:r>
      <w:r w:rsidR="007C0016" w:rsidRPr="009F31EA">
        <w:rPr>
          <w:sz w:val="20"/>
          <w:szCs w:val="20"/>
        </w:rPr>
        <w:t xml:space="preserve"> </w:t>
      </w:r>
      <w:r w:rsidR="00081573" w:rsidRPr="009F31EA">
        <w:rPr>
          <w:sz w:val="20"/>
          <w:szCs w:val="20"/>
        </w:rPr>
        <w:t>1</w:t>
      </w:r>
    </w:p>
    <w:p w14:paraId="77022D54" w14:textId="028C33F3" w:rsidR="002545FA" w:rsidRDefault="00BC4D1B" w:rsidP="00BC4D1B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Conflictos de trabajo</w:t>
      </w:r>
      <w:r w:rsidR="00BA49D5">
        <w:rPr>
          <w:b/>
          <w:smallCaps/>
          <w:sz w:val="22"/>
          <w:szCs w:val="22"/>
        </w:rPr>
        <w:t>, según</w:t>
      </w:r>
      <w:r>
        <w:rPr>
          <w:b/>
          <w:smallCaps/>
          <w:sz w:val="22"/>
          <w:szCs w:val="22"/>
        </w:rPr>
        <w:t xml:space="preserve"> entidad federativa</w:t>
      </w:r>
    </w:p>
    <w:p w14:paraId="46120E47" w14:textId="532E3919" w:rsidR="00BC4D1B" w:rsidRPr="00F95A40" w:rsidRDefault="00BC4D1B" w:rsidP="00BC4D1B">
      <w:pPr>
        <w:pStyle w:val="Textoindependiente"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F95A40">
        <w:rPr>
          <w:bCs/>
          <w:sz w:val="20"/>
          <w:szCs w:val="18"/>
        </w:rPr>
        <w:t>202</w:t>
      </w:r>
      <w:r w:rsidR="002545FA" w:rsidRPr="00F95A40">
        <w:rPr>
          <w:bCs/>
          <w:sz w:val="20"/>
          <w:szCs w:val="18"/>
        </w:rPr>
        <w:t>2</w:t>
      </w:r>
    </w:p>
    <w:p w14:paraId="61D13522" w14:textId="0CFF5F42" w:rsidR="00976BAE" w:rsidRDefault="00F46BAC" w:rsidP="004A29E5">
      <w:pPr>
        <w:pStyle w:val="Textoindependiente"/>
        <w:kinsoku w:val="0"/>
        <w:overflowPunct w:val="0"/>
        <w:ind w:left="0"/>
        <w:jc w:val="center"/>
      </w:pPr>
      <w:r w:rsidRPr="00F46BAC">
        <w:rPr>
          <w:noProof/>
        </w:rPr>
        <w:drawing>
          <wp:inline distT="0" distB="0" distL="0" distR="0" wp14:anchorId="3BF61D4D" wp14:editId="5ABFE96F">
            <wp:extent cx="6064142" cy="3642360"/>
            <wp:effectExtent l="0" t="0" r="0" b="0"/>
            <wp:docPr id="1773495797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95797" name="Imagen 1" descr="Mapa&#10;&#10;Descripción generada automáticamente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64142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1205" w14:textId="0317B623" w:rsidR="003B315E" w:rsidRPr="00B57FAC" w:rsidRDefault="003B315E" w:rsidP="009F31EA">
      <w:pPr>
        <w:kinsoku w:val="0"/>
        <w:overflowPunct w:val="0"/>
        <w:spacing w:after="240"/>
        <w:ind w:left="851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>(ERLAJUL)</w:t>
      </w:r>
      <w:r>
        <w:rPr>
          <w:rFonts w:ascii="Arial" w:eastAsia="Times New Roman" w:hAnsi="Arial" w:cs="Arial"/>
          <w:sz w:val="16"/>
          <w:szCs w:val="16"/>
        </w:rPr>
        <w:t>, 2022</w:t>
      </w:r>
    </w:p>
    <w:p w14:paraId="20D5FAF0" w14:textId="3CE1C71D" w:rsidR="00BC4D1B" w:rsidRDefault="00BC4D1B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br w:type="page"/>
      </w:r>
    </w:p>
    <w:p w14:paraId="5621678A" w14:textId="67E2A0F0" w:rsidR="00BC4D1B" w:rsidRPr="00084797" w:rsidRDefault="00BC4D1B" w:rsidP="009F31EA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Mapa </w:t>
      </w:r>
      <w:r w:rsidR="00E67D48">
        <w:rPr>
          <w:sz w:val="20"/>
          <w:szCs w:val="20"/>
        </w:rPr>
        <w:t>2</w:t>
      </w:r>
    </w:p>
    <w:p w14:paraId="5A8E0F5E" w14:textId="57B1B11D" w:rsidR="00BC4D1B" w:rsidRPr="00866F14" w:rsidRDefault="00237A01" w:rsidP="00BC4D1B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</w:t>
      </w:r>
      <w:r w:rsidRPr="00866F14">
        <w:rPr>
          <w:b/>
          <w:smallCaps/>
          <w:sz w:val="22"/>
          <w:szCs w:val="22"/>
        </w:rPr>
        <w:t xml:space="preserve">onflictos de trabajo </w:t>
      </w:r>
      <w:r>
        <w:rPr>
          <w:b/>
          <w:smallCaps/>
          <w:sz w:val="22"/>
          <w:szCs w:val="22"/>
        </w:rPr>
        <w:t>s</w:t>
      </w:r>
      <w:r w:rsidRPr="00866F14">
        <w:rPr>
          <w:b/>
          <w:smallCaps/>
          <w:sz w:val="22"/>
          <w:szCs w:val="22"/>
        </w:rPr>
        <w:t xml:space="preserve">olucionados por cada </w:t>
      </w:r>
      <w:r w:rsidR="00BA49D5">
        <w:rPr>
          <w:b/>
          <w:smallCaps/>
          <w:sz w:val="22"/>
          <w:szCs w:val="22"/>
        </w:rPr>
        <w:t xml:space="preserve">cien </w:t>
      </w:r>
      <w:r w:rsidRPr="00866F14">
        <w:rPr>
          <w:b/>
          <w:smallCaps/>
          <w:sz w:val="22"/>
          <w:szCs w:val="22"/>
        </w:rPr>
        <w:t>registrados</w:t>
      </w:r>
    </w:p>
    <w:p w14:paraId="770C40BD" w14:textId="77777777" w:rsidR="00BA49D5" w:rsidRPr="00942784" w:rsidRDefault="00BA49D5" w:rsidP="00BA49D5">
      <w:pPr>
        <w:pStyle w:val="Textoindependiente"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942784">
        <w:rPr>
          <w:bCs/>
          <w:sz w:val="20"/>
          <w:szCs w:val="18"/>
        </w:rPr>
        <w:t>2022</w:t>
      </w:r>
    </w:p>
    <w:p w14:paraId="7D476B5D" w14:textId="77366008" w:rsidR="00F46BAC" w:rsidRPr="006973BD" w:rsidRDefault="00F46BAC" w:rsidP="00BC4D1B">
      <w:pPr>
        <w:pStyle w:val="Textoindependiente"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 w:rsidRPr="00F46BAC">
        <w:rPr>
          <w:b/>
          <w:smallCaps/>
          <w:noProof/>
          <w:sz w:val="22"/>
          <w:szCs w:val="22"/>
        </w:rPr>
        <w:drawing>
          <wp:inline distT="0" distB="0" distL="0" distR="0" wp14:anchorId="7C0F0791" wp14:editId="74B4E4F1">
            <wp:extent cx="6063942" cy="3540760"/>
            <wp:effectExtent l="0" t="0" r="0" b="2540"/>
            <wp:docPr id="1811515946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15946" name="Imagen 1" descr="Mapa&#10;&#10;Descripción generada automáticamente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63942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105A" w14:textId="2268BCAC" w:rsidR="003B315E" w:rsidRPr="00B57FAC" w:rsidRDefault="003B315E" w:rsidP="009F31EA">
      <w:pPr>
        <w:kinsoku w:val="0"/>
        <w:overflowPunct w:val="0"/>
        <w:spacing w:after="240"/>
        <w:ind w:left="1134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31F03A4F" w14:textId="199EC2F9" w:rsidR="00D233A0" w:rsidRDefault="00D233A0" w:rsidP="00DA4535">
      <w:pPr>
        <w:kinsoku w:val="0"/>
        <w:overflowPunct w:val="0"/>
        <w:rPr>
          <w:rFonts w:ascii="Arial" w:hAnsi="Arial" w:cs="Arial"/>
        </w:rPr>
      </w:pPr>
      <w:r>
        <w:br w:type="page"/>
      </w:r>
    </w:p>
    <w:p w14:paraId="2DDDC2B2" w14:textId="30102BA0" w:rsidR="00E67D48" w:rsidRPr="009F31EA" w:rsidRDefault="009F31EA" w:rsidP="00BC4D1B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</w:t>
      </w:r>
      <w:r w:rsidR="00E67D48" w:rsidRPr="009F31EA">
        <w:rPr>
          <w:sz w:val="20"/>
          <w:szCs w:val="20"/>
        </w:rPr>
        <w:t xml:space="preserve">apa </w:t>
      </w:r>
      <w:r w:rsidR="00E06E10" w:rsidRPr="009F31EA">
        <w:rPr>
          <w:sz w:val="20"/>
          <w:szCs w:val="20"/>
        </w:rPr>
        <w:t>3</w:t>
      </w:r>
    </w:p>
    <w:p w14:paraId="0F194BC9" w14:textId="46614395" w:rsidR="00BC4D1B" w:rsidRPr="006973BD" w:rsidRDefault="00BC4D1B" w:rsidP="00BC4D1B">
      <w:pPr>
        <w:pStyle w:val="Textoindependiente"/>
        <w:keepNext/>
        <w:kinsoku w:val="0"/>
        <w:overflowPunct w:val="0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Emplazamientos a huelga</w:t>
      </w:r>
      <w:r w:rsidR="00BA49D5">
        <w:rPr>
          <w:b/>
          <w:smallCaps/>
          <w:sz w:val="22"/>
          <w:szCs w:val="22"/>
        </w:rPr>
        <w:t>, según</w:t>
      </w:r>
      <w:r>
        <w:rPr>
          <w:b/>
          <w:smallCaps/>
          <w:sz w:val="22"/>
          <w:szCs w:val="22"/>
        </w:rPr>
        <w:t xml:space="preserve"> entidad federativa</w:t>
      </w:r>
    </w:p>
    <w:p w14:paraId="080982AD" w14:textId="77777777" w:rsidR="00BA49D5" w:rsidRPr="00942784" w:rsidRDefault="00BA49D5" w:rsidP="00BA49D5">
      <w:pPr>
        <w:pStyle w:val="Textoindependiente"/>
        <w:kinsoku w:val="0"/>
        <w:overflowPunct w:val="0"/>
        <w:ind w:left="0"/>
        <w:jc w:val="center"/>
        <w:rPr>
          <w:bCs/>
          <w:sz w:val="20"/>
          <w:szCs w:val="18"/>
        </w:rPr>
      </w:pPr>
      <w:r w:rsidRPr="00942784">
        <w:rPr>
          <w:bCs/>
          <w:sz w:val="20"/>
          <w:szCs w:val="18"/>
        </w:rPr>
        <w:t>2022</w:t>
      </w:r>
    </w:p>
    <w:p w14:paraId="31C984C0" w14:textId="6A888EFF" w:rsidR="00BC4D1B" w:rsidRDefault="009330D9" w:rsidP="00056FD6">
      <w:pPr>
        <w:jc w:val="center"/>
        <w:rPr>
          <w:rFonts w:ascii="Arial" w:hAnsi="Arial" w:cs="Arial"/>
          <w:smallCaps/>
          <w:sz w:val="20"/>
          <w:szCs w:val="20"/>
        </w:rPr>
      </w:pPr>
      <w:r w:rsidRPr="009330D9">
        <w:rPr>
          <w:rFonts w:ascii="Arial" w:hAnsi="Arial" w:cs="Arial"/>
          <w:smallCaps/>
          <w:noProof/>
          <w:sz w:val="20"/>
          <w:szCs w:val="20"/>
        </w:rPr>
        <w:drawing>
          <wp:inline distT="0" distB="0" distL="0" distR="0" wp14:anchorId="13E2B16B" wp14:editId="3E5CAAB7">
            <wp:extent cx="6157571" cy="3642360"/>
            <wp:effectExtent l="0" t="0" r="0" b="0"/>
            <wp:docPr id="1129068576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68576" name="Imagen 1" descr="Mapa&#10;&#10;Descripción generada automáticamente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166227" cy="364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0D546" w14:textId="78888CB4" w:rsidR="003B315E" w:rsidRPr="00B57FAC" w:rsidRDefault="003B315E" w:rsidP="009F31EA">
      <w:pPr>
        <w:kinsoku w:val="0"/>
        <w:overflowPunct w:val="0"/>
        <w:spacing w:after="240"/>
        <w:ind w:left="1276" w:right="504" w:hanging="567"/>
        <w:rPr>
          <w:rFonts w:ascii="Arial" w:eastAsia="Times New Roman" w:hAnsi="Arial" w:cs="Arial"/>
          <w:sz w:val="16"/>
          <w:szCs w:val="16"/>
        </w:rPr>
      </w:pPr>
      <w:r w:rsidRPr="00B57FAC">
        <w:rPr>
          <w:rFonts w:ascii="Arial" w:eastAsia="Times New Roman" w:hAnsi="Arial" w:cs="Arial"/>
          <w:sz w:val="16"/>
          <w:szCs w:val="16"/>
        </w:rPr>
        <w:t>Fuente:</w:t>
      </w:r>
      <w:r>
        <w:rPr>
          <w:rFonts w:ascii="Arial" w:eastAsia="Times New Roman" w:hAnsi="Arial" w:cs="Arial"/>
          <w:sz w:val="16"/>
          <w:szCs w:val="16"/>
        </w:rPr>
        <w:tab/>
        <w:t xml:space="preserve">INEGI. </w:t>
      </w:r>
      <w:r w:rsidRPr="00B57FAC">
        <w:rPr>
          <w:rFonts w:ascii="Arial" w:eastAsia="Times New Roman" w:hAnsi="Arial" w:cs="Arial"/>
          <w:sz w:val="16"/>
          <w:szCs w:val="16"/>
        </w:rPr>
        <w:t xml:space="preserve">Estadísticas sobre </w:t>
      </w:r>
      <w:r>
        <w:rPr>
          <w:rFonts w:ascii="Arial" w:eastAsia="Times New Roman" w:hAnsi="Arial" w:cs="Arial"/>
          <w:sz w:val="16"/>
          <w:szCs w:val="16"/>
        </w:rPr>
        <w:t>R</w:t>
      </w:r>
      <w:r w:rsidRPr="00B57FAC">
        <w:rPr>
          <w:rFonts w:ascii="Arial" w:eastAsia="Times New Roman" w:hAnsi="Arial" w:cs="Arial"/>
          <w:sz w:val="16"/>
          <w:szCs w:val="16"/>
        </w:rPr>
        <w:t xml:space="preserve">elaciones </w:t>
      </w:r>
      <w:r>
        <w:rPr>
          <w:rFonts w:ascii="Arial" w:eastAsia="Times New Roman" w:hAnsi="Arial" w:cs="Arial"/>
          <w:sz w:val="16"/>
          <w:szCs w:val="16"/>
        </w:rPr>
        <w:t>L</w:t>
      </w:r>
      <w:r w:rsidRPr="00B57FAC">
        <w:rPr>
          <w:rFonts w:ascii="Arial" w:eastAsia="Times New Roman" w:hAnsi="Arial" w:cs="Arial"/>
          <w:sz w:val="16"/>
          <w:szCs w:val="16"/>
        </w:rPr>
        <w:t>aborales</w:t>
      </w:r>
      <w:r>
        <w:rPr>
          <w:rFonts w:ascii="Arial" w:eastAsia="Times New Roman" w:hAnsi="Arial" w:cs="Arial"/>
          <w:sz w:val="16"/>
          <w:szCs w:val="16"/>
        </w:rPr>
        <w:t xml:space="preserve"> de Jurisdicción Local </w:t>
      </w:r>
      <w:r w:rsidR="00E67DB3">
        <w:rPr>
          <w:rFonts w:ascii="Arial" w:eastAsia="Times New Roman" w:hAnsi="Arial" w:cs="Arial"/>
          <w:sz w:val="16"/>
          <w:szCs w:val="16"/>
        </w:rPr>
        <w:t xml:space="preserve">(ERLAJUL), </w:t>
      </w:r>
      <w:r>
        <w:rPr>
          <w:rFonts w:ascii="Arial" w:eastAsia="Times New Roman" w:hAnsi="Arial" w:cs="Arial"/>
          <w:sz w:val="16"/>
          <w:szCs w:val="16"/>
        </w:rPr>
        <w:t>2022</w:t>
      </w:r>
    </w:p>
    <w:p w14:paraId="68DAEEEE" w14:textId="77777777" w:rsidR="00DA441B" w:rsidRDefault="00DA441B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mallCaps/>
        </w:rPr>
      </w:pPr>
      <w:r>
        <w:rPr>
          <w:b/>
          <w:smallCaps/>
        </w:rPr>
        <w:br w:type="page"/>
      </w:r>
    </w:p>
    <w:p w14:paraId="4C60646E" w14:textId="77777777" w:rsidR="00DA441B" w:rsidRDefault="00DA441B" w:rsidP="00DA441B">
      <w:pPr>
        <w:pStyle w:val="Textoindependiente"/>
        <w:kinsoku w:val="0"/>
        <w:overflowPunct w:val="0"/>
        <w:spacing w:after="120"/>
        <w:ind w:left="0"/>
        <w:jc w:val="center"/>
        <w:rPr>
          <w:b/>
          <w:smallCaps/>
        </w:rPr>
      </w:pPr>
    </w:p>
    <w:p w14:paraId="5F11CCEF" w14:textId="50CC658B" w:rsidR="00DA441B" w:rsidRDefault="00DA441B" w:rsidP="00DA441B">
      <w:pPr>
        <w:pStyle w:val="Textoindependiente"/>
        <w:kinsoku w:val="0"/>
        <w:overflowPunct w:val="0"/>
        <w:spacing w:after="120"/>
        <w:ind w:left="0"/>
        <w:jc w:val="center"/>
        <w:rPr>
          <w:b/>
          <w:smallCaps/>
        </w:rPr>
      </w:pPr>
      <w:r>
        <w:rPr>
          <w:b/>
          <w:smallCaps/>
        </w:rPr>
        <w:t>ANEXO 2</w:t>
      </w:r>
    </w:p>
    <w:p w14:paraId="2E7C5A0D" w14:textId="38FB0318" w:rsidR="00235299" w:rsidRDefault="00235299" w:rsidP="00DA441B">
      <w:pPr>
        <w:spacing w:before="240" w:after="240"/>
        <w:jc w:val="both"/>
        <w:rPr>
          <w:rStyle w:val="ui-provider"/>
          <w:rFonts w:ascii="Arial" w:hAnsi="Arial" w:cs="Arial"/>
        </w:rPr>
      </w:pPr>
      <w:r w:rsidRPr="00235299">
        <w:rPr>
          <w:rStyle w:val="ui-provider"/>
          <w:rFonts w:ascii="Arial" w:hAnsi="Arial" w:cs="Arial"/>
        </w:rPr>
        <w:t>Adicional al programa de</w:t>
      </w:r>
      <w:r w:rsidR="00BA49D5">
        <w:rPr>
          <w:rStyle w:val="ui-provider"/>
          <w:rFonts w:ascii="Arial" w:hAnsi="Arial" w:cs="Arial"/>
        </w:rPr>
        <w:t xml:space="preserve"> las ERLAJUL</w:t>
      </w:r>
      <w:r w:rsidRPr="00235299">
        <w:rPr>
          <w:rStyle w:val="ui-provider"/>
          <w:rFonts w:ascii="Arial" w:hAnsi="Arial" w:cs="Arial"/>
        </w:rPr>
        <w:t>, el INEGI implementó el Registro Administrativo en Materia de Justicia Laboral (RALAB)</w:t>
      </w:r>
      <w:r w:rsidR="00BA49D5">
        <w:rPr>
          <w:rStyle w:val="ui-provider"/>
          <w:rFonts w:ascii="Arial" w:hAnsi="Arial" w:cs="Arial"/>
        </w:rPr>
        <w:t xml:space="preserve">. Este </w:t>
      </w:r>
      <w:r w:rsidRPr="00235299">
        <w:rPr>
          <w:rStyle w:val="ui-provider"/>
          <w:rFonts w:ascii="Arial" w:hAnsi="Arial" w:cs="Arial"/>
        </w:rPr>
        <w:t>tiene como objetivo generar información estadística y geográfica sobre el desempeño de los órganos jurisdiccionales en materia de justicia laboral, específicamente de los Tribunales Laborales de las entidades federativas.</w:t>
      </w:r>
    </w:p>
    <w:p w14:paraId="0686A10C" w14:textId="60B89E39" w:rsidR="00DA441B" w:rsidRDefault="00235299" w:rsidP="00DA441B">
      <w:pPr>
        <w:spacing w:before="240" w:after="240"/>
        <w:jc w:val="both"/>
        <w:rPr>
          <w:rStyle w:val="ui-provider"/>
          <w:rFonts w:ascii="Arial" w:hAnsi="Arial" w:cs="Arial"/>
        </w:rPr>
      </w:pPr>
      <w:r w:rsidRPr="00235299">
        <w:rPr>
          <w:rStyle w:val="ui-provider"/>
          <w:rFonts w:ascii="Arial" w:hAnsi="Arial" w:cs="Arial"/>
        </w:rPr>
        <w:t xml:space="preserve">Por primera ocasión, se pone a disposición </w:t>
      </w:r>
      <w:r w:rsidR="00292513">
        <w:rPr>
          <w:rStyle w:val="ui-provider"/>
          <w:rFonts w:ascii="Arial" w:hAnsi="Arial" w:cs="Arial"/>
        </w:rPr>
        <w:t xml:space="preserve">de las y los usuarios, </w:t>
      </w:r>
      <w:r w:rsidRPr="00235299">
        <w:rPr>
          <w:rStyle w:val="ui-provider"/>
          <w:rFonts w:ascii="Arial" w:hAnsi="Arial" w:cs="Arial"/>
        </w:rPr>
        <w:t>información estadística referente a los periodos que comprenden</w:t>
      </w:r>
      <w:r w:rsidR="00BA49D5">
        <w:rPr>
          <w:rStyle w:val="ui-provider"/>
          <w:rFonts w:ascii="Arial" w:hAnsi="Arial" w:cs="Arial"/>
        </w:rPr>
        <w:t>,</w:t>
      </w:r>
      <w:r w:rsidRPr="00235299">
        <w:rPr>
          <w:rStyle w:val="ui-provider"/>
          <w:rFonts w:ascii="Arial" w:hAnsi="Arial" w:cs="Arial"/>
        </w:rPr>
        <w:t xml:space="preserve"> del último bimestre de 2020 al 31 de diciembre 2022</w:t>
      </w:r>
      <w:r w:rsidR="00BA49D5">
        <w:rPr>
          <w:rStyle w:val="ui-provider"/>
          <w:rFonts w:ascii="Arial" w:hAnsi="Arial" w:cs="Arial"/>
        </w:rPr>
        <w:t xml:space="preserve">. La </w:t>
      </w:r>
      <w:r w:rsidRPr="00235299">
        <w:rPr>
          <w:rStyle w:val="ui-provider"/>
          <w:rFonts w:ascii="Arial" w:hAnsi="Arial" w:cs="Arial"/>
        </w:rPr>
        <w:t xml:space="preserve">cobertura geográfica </w:t>
      </w:r>
      <w:r w:rsidR="00BA49D5">
        <w:rPr>
          <w:rStyle w:val="ui-provider"/>
          <w:rFonts w:ascii="Arial" w:hAnsi="Arial" w:cs="Arial"/>
        </w:rPr>
        <w:t xml:space="preserve">de esta información es </w:t>
      </w:r>
      <w:r w:rsidRPr="00235299">
        <w:rPr>
          <w:rStyle w:val="ui-provider"/>
          <w:rFonts w:ascii="Arial" w:hAnsi="Arial" w:cs="Arial"/>
        </w:rPr>
        <w:t>nacional</w:t>
      </w:r>
      <w:r w:rsidR="00D06E85">
        <w:rPr>
          <w:rStyle w:val="ui-provider"/>
          <w:rFonts w:ascii="Arial" w:hAnsi="Arial" w:cs="Arial"/>
        </w:rPr>
        <w:t>,</w:t>
      </w:r>
      <w:r w:rsidRPr="00235299">
        <w:rPr>
          <w:rStyle w:val="ui-provider"/>
          <w:rFonts w:ascii="Arial" w:hAnsi="Arial" w:cs="Arial"/>
        </w:rPr>
        <w:t xml:space="preserve"> </w:t>
      </w:r>
      <w:r w:rsidR="00BA49D5">
        <w:rPr>
          <w:rStyle w:val="ui-provider"/>
          <w:rFonts w:ascii="Arial" w:hAnsi="Arial" w:cs="Arial"/>
        </w:rPr>
        <w:t xml:space="preserve">con </w:t>
      </w:r>
      <w:r w:rsidRPr="00235299">
        <w:rPr>
          <w:rStyle w:val="ui-provider"/>
          <w:rFonts w:ascii="Arial" w:hAnsi="Arial" w:cs="Arial"/>
        </w:rPr>
        <w:t xml:space="preserve">desglose por entidad federativa y </w:t>
      </w:r>
      <w:r w:rsidR="00BA49D5">
        <w:rPr>
          <w:rStyle w:val="ui-provider"/>
          <w:rFonts w:ascii="Arial" w:hAnsi="Arial" w:cs="Arial"/>
        </w:rPr>
        <w:t xml:space="preserve">por </w:t>
      </w:r>
      <w:r w:rsidRPr="00235299">
        <w:rPr>
          <w:rStyle w:val="ui-provider"/>
          <w:rFonts w:ascii="Arial" w:hAnsi="Arial" w:cs="Arial"/>
        </w:rPr>
        <w:t>órganos jurisdiccionales</w:t>
      </w:r>
      <w:r w:rsidR="00BA49D5">
        <w:rPr>
          <w:rStyle w:val="ui-provider"/>
          <w:rFonts w:ascii="Arial" w:hAnsi="Arial" w:cs="Arial"/>
        </w:rPr>
        <w:t>. Está disponible</w:t>
      </w:r>
      <w:r w:rsidRPr="00235299">
        <w:rPr>
          <w:rStyle w:val="ui-provider"/>
          <w:rFonts w:ascii="Arial" w:hAnsi="Arial" w:cs="Arial"/>
        </w:rPr>
        <w:t xml:space="preserve"> en tabulados interactivos y datos abiertos</w:t>
      </w:r>
      <w:r w:rsidR="00D06E85">
        <w:rPr>
          <w:rStyle w:val="ui-provider"/>
          <w:rFonts w:ascii="Arial" w:hAnsi="Arial" w:cs="Arial"/>
        </w:rPr>
        <w:t>. P</w:t>
      </w:r>
      <w:r w:rsidR="00BA49D5">
        <w:rPr>
          <w:rStyle w:val="ui-provider"/>
          <w:rFonts w:ascii="Arial" w:hAnsi="Arial" w:cs="Arial"/>
        </w:rPr>
        <w:t xml:space="preserve">uede consultarse en </w:t>
      </w:r>
      <w:r w:rsidR="00DA441B">
        <w:rPr>
          <w:rStyle w:val="ui-provider"/>
          <w:rFonts w:ascii="Arial" w:hAnsi="Arial" w:cs="Arial"/>
        </w:rPr>
        <w:t xml:space="preserve"> </w:t>
      </w:r>
      <w:hyperlink r:id="rId48" w:history="1">
        <w:r w:rsidR="00DA441B">
          <w:rPr>
            <w:rStyle w:val="Hipervnculo"/>
            <w:rFonts w:ascii="Arial" w:hAnsi="Arial" w:cs="Arial"/>
          </w:rPr>
          <w:t>https://www.inegi.org.mx/programas/ralab</w:t>
        </w:r>
      </w:hyperlink>
    </w:p>
    <w:p w14:paraId="48EFDAF8" w14:textId="4529437D" w:rsidR="00DA441B" w:rsidRPr="009F31EA" w:rsidRDefault="00DA441B" w:rsidP="00DA441B">
      <w:pPr>
        <w:pStyle w:val="Textoindependiente"/>
        <w:keepNext/>
        <w:kinsoku w:val="0"/>
        <w:overflowPunct w:val="0"/>
        <w:ind w:left="0"/>
        <w:jc w:val="center"/>
        <w:rPr>
          <w:sz w:val="20"/>
          <w:szCs w:val="20"/>
        </w:rPr>
      </w:pPr>
    </w:p>
    <w:p w14:paraId="754E9098" w14:textId="77777777" w:rsidR="00B21452" w:rsidRPr="00303978" w:rsidRDefault="00B21452" w:rsidP="006973BD">
      <w:pPr>
        <w:pStyle w:val="Textoindependiente"/>
        <w:kinsoku w:val="0"/>
        <w:overflowPunct w:val="0"/>
        <w:ind w:left="0"/>
        <w:jc w:val="both"/>
      </w:pPr>
    </w:p>
    <w:sectPr w:rsidR="00B21452" w:rsidRPr="00303978" w:rsidSect="00D23926">
      <w:headerReference w:type="default" r:id="rId49"/>
      <w:footerReference w:type="default" r:id="rId50"/>
      <w:pgSz w:w="12240" w:h="15840"/>
      <w:pgMar w:top="1900" w:right="1467" w:bottom="800" w:left="1200" w:header="267" w:footer="614" w:gutter="0"/>
      <w:cols w:space="720" w:equalWidth="0">
        <w:col w:w="98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B690" w14:textId="77777777" w:rsidR="00897876" w:rsidRDefault="00897876">
      <w:r>
        <w:separator/>
      </w:r>
    </w:p>
  </w:endnote>
  <w:endnote w:type="continuationSeparator" w:id="0">
    <w:p w14:paraId="5FDE956A" w14:textId="77777777" w:rsidR="00897876" w:rsidRDefault="00897876">
      <w:r>
        <w:continuationSeparator/>
      </w:r>
    </w:p>
  </w:endnote>
  <w:endnote w:type="continuationNotice" w:id="1">
    <w:p w14:paraId="7F333A1C" w14:textId="77777777" w:rsidR="00897876" w:rsidRDefault="00897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egrita">
    <w:altName w:val="Arial"/>
    <w:panose1 w:val="020B0704020202020204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6C03" w14:textId="77777777" w:rsidR="00305991" w:rsidRDefault="00305991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031A19A" wp14:editId="5B115D98">
              <wp:simplePos x="0" y="0"/>
              <wp:positionH relativeFrom="page">
                <wp:posOffset>3108960</wp:posOffset>
              </wp:positionH>
              <wp:positionV relativeFrom="page">
                <wp:posOffset>9633585</wp:posOffset>
              </wp:positionV>
              <wp:extent cx="1554480" cy="172085"/>
              <wp:effectExtent l="0" t="0" r="762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6E513" w14:textId="77777777" w:rsidR="00305991" w:rsidRDefault="00305991">
                          <w:pPr>
                            <w:pStyle w:val="Textoindependiente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1F487C"/>
                              <w:sz w:val="20"/>
                              <w:szCs w:val="20"/>
                            </w:rPr>
                            <w:t>COMUNICACIÓN</w:t>
                          </w:r>
                          <w:r>
                            <w:rPr>
                              <w:b/>
                              <w:bCs/>
                              <w:color w:val="1F487C"/>
                              <w:spacing w:val="-2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F487C"/>
                              <w:sz w:val="20"/>
                              <w:szCs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031A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44.8pt;margin-top:758.55pt;width:122.4pt;height:13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" o:allowincell="f" filled="f" stroked="f">
              <v:textbox inset="0,0,0,0">
                <w:txbxContent>
                  <w:p w14:paraId="7CB6E513" w14:textId="77777777" w:rsidR="00305991" w:rsidRDefault="00305991">
                    <w:pPr>
                      <w:pStyle w:val="Textoindependiente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1F487C"/>
                        <w:sz w:val="20"/>
                        <w:szCs w:val="20"/>
                      </w:rPr>
                      <w:t>COMUNICACIÓN</w:t>
                    </w:r>
                    <w:r>
                      <w:rPr>
                        <w:b/>
                        <w:bCs/>
                        <w:color w:val="1F487C"/>
                        <w:spacing w:val="-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1F487C"/>
                        <w:sz w:val="20"/>
                        <w:szCs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9FB50" w14:textId="4F89936E" w:rsidR="00575C71" w:rsidRPr="00F95A40" w:rsidRDefault="00575C71" w:rsidP="00F95A40">
    <w:pPr>
      <w:pStyle w:val="Piedepgina"/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F95A40">
      <w:rPr>
        <w:rFonts w:ascii="Arial" w:hAnsi="Arial" w:cs="Arial"/>
        <w:b/>
        <w:bCs/>
        <w:color w:val="002060"/>
        <w:sz w:val="20"/>
        <w:szCs w:val="20"/>
      </w:rPr>
      <w:t>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F84B" w14:textId="77777777" w:rsidR="00897876" w:rsidRDefault="00897876">
      <w:r>
        <w:separator/>
      </w:r>
    </w:p>
  </w:footnote>
  <w:footnote w:type="continuationSeparator" w:id="0">
    <w:p w14:paraId="7DE3E2D7" w14:textId="77777777" w:rsidR="00897876" w:rsidRDefault="00897876">
      <w:r>
        <w:continuationSeparator/>
      </w:r>
    </w:p>
  </w:footnote>
  <w:footnote w:type="continuationNotice" w:id="1">
    <w:p w14:paraId="62B3C86E" w14:textId="77777777" w:rsidR="00897876" w:rsidRDefault="00897876"/>
  </w:footnote>
  <w:footnote w:id="2">
    <w:p w14:paraId="75A60F6B" w14:textId="6FA52351" w:rsidR="00ED2EEC" w:rsidRPr="00F95A40" w:rsidRDefault="00ED2EEC" w:rsidP="001D3FF0">
      <w:pPr>
        <w:pStyle w:val="Textonotapie"/>
        <w:ind w:left="142" w:right="-350" w:hanging="142"/>
        <w:jc w:val="both"/>
        <w:rPr>
          <w:rFonts w:ascii="Arial" w:hAnsi="Arial" w:cs="Arial"/>
          <w:sz w:val="16"/>
          <w:szCs w:val="16"/>
        </w:rPr>
      </w:pPr>
      <w:r w:rsidRPr="00F95A40">
        <w:rPr>
          <w:rStyle w:val="Refdenotaalpie"/>
          <w:rFonts w:ascii="Arial" w:hAnsi="Arial" w:cs="Arial"/>
          <w:sz w:val="16"/>
          <w:szCs w:val="16"/>
        </w:rPr>
        <w:footnoteRef/>
      </w:r>
      <w:r w:rsidRPr="00F95A40">
        <w:rPr>
          <w:rFonts w:ascii="Arial" w:hAnsi="Arial" w:cs="Arial"/>
          <w:sz w:val="16"/>
          <w:szCs w:val="16"/>
        </w:rPr>
        <w:t xml:space="preserve"> El detalle del porcentaje de los convenios y conflictos derivados de las relaciones laborales por entidad federativa se presenta en la tabla</w:t>
      </w:r>
      <w:r w:rsidR="00C81F21">
        <w:rPr>
          <w:rFonts w:ascii="Arial" w:hAnsi="Arial" w:cs="Arial"/>
          <w:sz w:val="16"/>
          <w:szCs w:val="16"/>
        </w:rPr>
        <w:t xml:space="preserve"> </w:t>
      </w:r>
      <w:r w:rsidR="006549A7">
        <w:rPr>
          <w:rFonts w:ascii="Arial" w:hAnsi="Arial" w:cs="Arial"/>
          <w:sz w:val="16"/>
          <w:szCs w:val="16"/>
        </w:rPr>
        <w:t>1</w:t>
      </w:r>
      <w:r w:rsidRPr="00F95A40">
        <w:rPr>
          <w:rFonts w:ascii="Arial" w:hAnsi="Arial" w:cs="Arial"/>
          <w:sz w:val="16"/>
          <w:szCs w:val="16"/>
        </w:rPr>
        <w:t xml:space="preserve"> y en las gráficas </w:t>
      </w:r>
      <w:r w:rsidR="004D7895">
        <w:rPr>
          <w:rFonts w:ascii="Arial" w:hAnsi="Arial" w:cs="Arial"/>
          <w:sz w:val="16"/>
          <w:szCs w:val="16"/>
        </w:rPr>
        <w:t>1</w:t>
      </w:r>
      <w:r w:rsidRPr="00F95A40">
        <w:rPr>
          <w:rFonts w:ascii="Arial" w:hAnsi="Arial" w:cs="Arial"/>
          <w:sz w:val="16"/>
          <w:szCs w:val="16"/>
        </w:rPr>
        <w:t xml:space="preserve"> a </w:t>
      </w:r>
      <w:r w:rsidR="004D7895">
        <w:rPr>
          <w:rFonts w:ascii="Arial" w:hAnsi="Arial" w:cs="Arial"/>
          <w:sz w:val="16"/>
          <w:szCs w:val="16"/>
        </w:rPr>
        <w:t>3</w:t>
      </w:r>
      <w:r w:rsidRPr="00F95A40">
        <w:rPr>
          <w:rFonts w:ascii="Arial" w:hAnsi="Arial" w:cs="Arial"/>
          <w:sz w:val="16"/>
          <w:szCs w:val="16"/>
        </w:rPr>
        <w:t xml:space="preserve"> del Anexo 1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4CAF84B4" w14:textId="48616287" w:rsidR="00ED2EEC" w:rsidRPr="00F95A40" w:rsidRDefault="00ED2EEC" w:rsidP="001D3FF0">
      <w:pPr>
        <w:kinsoku w:val="0"/>
        <w:overflowPunct w:val="0"/>
        <w:spacing w:after="240"/>
        <w:ind w:left="142" w:right="-350" w:hanging="142"/>
        <w:jc w:val="both"/>
        <w:rPr>
          <w:rFonts w:ascii="Arial" w:hAnsi="Arial" w:cs="Arial"/>
          <w:sz w:val="16"/>
          <w:szCs w:val="16"/>
        </w:rPr>
      </w:pPr>
      <w:r w:rsidRPr="00F95A40">
        <w:rPr>
          <w:rStyle w:val="Refdenotaalpie"/>
          <w:rFonts w:ascii="Arial" w:hAnsi="Arial" w:cs="Arial"/>
          <w:sz w:val="16"/>
          <w:szCs w:val="16"/>
        </w:rPr>
        <w:footnoteRef/>
      </w:r>
      <w:r w:rsidRPr="00F95A40">
        <w:rPr>
          <w:rFonts w:ascii="Arial" w:hAnsi="Arial" w:cs="Arial"/>
          <w:sz w:val="16"/>
          <w:szCs w:val="16"/>
        </w:rPr>
        <w:t xml:space="preserve"> Los convenios y conflictos se expresan en términos de tasa </w:t>
      </w:r>
      <w:r w:rsidR="004A2F06">
        <w:rPr>
          <w:rFonts w:ascii="Arial" w:hAnsi="Arial" w:cs="Arial"/>
          <w:sz w:val="16"/>
          <w:szCs w:val="16"/>
        </w:rPr>
        <w:t xml:space="preserve">en las secciones respectivas </w:t>
      </w:r>
      <w:r w:rsidRPr="00F95A40">
        <w:rPr>
          <w:rFonts w:ascii="Arial" w:hAnsi="Arial" w:cs="Arial"/>
          <w:sz w:val="16"/>
          <w:szCs w:val="16"/>
        </w:rPr>
        <w:t xml:space="preserve"> de este comunicado. Se considera el total de</w:t>
      </w:r>
      <w:r w:rsidR="004D7895">
        <w:rPr>
          <w:rFonts w:ascii="Arial" w:hAnsi="Arial" w:cs="Arial"/>
          <w:sz w:val="16"/>
          <w:szCs w:val="16"/>
        </w:rPr>
        <w:t xml:space="preserve"> las y los </w:t>
      </w:r>
      <w:r w:rsidRPr="00F95A40">
        <w:rPr>
          <w:rFonts w:ascii="Arial" w:hAnsi="Arial" w:cs="Arial"/>
          <w:sz w:val="16"/>
          <w:szCs w:val="16"/>
        </w:rPr>
        <w:t>trabajadores que intervino en función de la población ocupada que captó la Encuesta Nacional de Ocupación y Empleo Nueva Edición (ENOE</w:t>
      </w:r>
      <w:r w:rsidR="004D7895" w:rsidRPr="00F95A40">
        <w:rPr>
          <w:rFonts w:ascii="Arial" w:hAnsi="Arial" w:cs="Arial"/>
          <w:sz w:val="16"/>
          <w:szCs w:val="16"/>
          <w:vertAlign w:val="superscript"/>
        </w:rPr>
        <w:t>N</w:t>
      </w:r>
      <w:r w:rsidRPr="00F95A40">
        <w:rPr>
          <w:rFonts w:ascii="Arial" w:hAnsi="Arial" w:cs="Arial"/>
          <w:sz w:val="16"/>
          <w:szCs w:val="16"/>
        </w:rPr>
        <w:t>)</w:t>
      </w:r>
      <w:r w:rsidR="004D7895">
        <w:rPr>
          <w:rFonts w:ascii="Arial" w:hAnsi="Arial" w:cs="Arial"/>
          <w:sz w:val="16"/>
          <w:szCs w:val="16"/>
        </w:rPr>
        <w:t>,</w:t>
      </w:r>
      <w:r w:rsidRPr="00F95A40">
        <w:rPr>
          <w:rFonts w:ascii="Arial" w:hAnsi="Arial" w:cs="Arial"/>
          <w:sz w:val="16"/>
          <w:szCs w:val="16"/>
        </w:rPr>
        <w:t xml:space="preserve"> al cuarto trimestre de 2022. </w:t>
      </w:r>
    </w:p>
    <w:p w14:paraId="4BD4D31B" w14:textId="0482C270" w:rsidR="00ED2EEC" w:rsidRDefault="00ED2EEC">
      <w:pPr>
        <w:pStyle w:val="Textonotapie"/>
      </w:pPr>
    </w:p>
  </w:footnote>
  <w:footnote w:id="4">
    <w:p w14:paraId="7FFD55FB" w14:textId="3B16A222" w:rsidR="00305991" w:rsidRPr="009C3ECE" w:rsidRDefault="00305991" w:rsidP="001D3FF0">
      <w:pPr>
        <w:pStyle w:val="Textonotapie"/>
        <w:ind w:left="142" w:right="-350" w:hanging="142"/>
        <w:jc w:val="both"/>
        <w:rPr>
          <w:rFonts w:ascii="Arial" w:hAnsi="Arial" w:cs="Arial"/>
          <w:sz w:val="16"/>
          <w:szCs w:val="16"/>
        </w:rPr>
      </w:pPr>
      <w:r w:rsidRPr="009C3ECE">
        <w:rPr>
          <w:rStyle w:val="Refdenotaalpie"/>
          <w:rFonts w:ascii="Arial" w:hAnsi="Arial" w:cs="Arial"/>
          <w:sz w:val="16"/>
          <w:szCs w:val="16"/>
        </w:rPr>
        <w:footnoteRef/>
      </w:r>
      <w:r w:rsidRPr="009C3EC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9C3ECE">
        <w:rPr>
          <w:rFonts w:ascii="Arial" w:hAnsi="Arial" w:cs="Arial"/>
          <w:sz w:val="16"/>
          <w:szCs w:val="16"/>
        </w:rPr>
        <w:t>Información correspondiente al cuarto trimestre de 202</w:t>
      </w:r>
      <w:r>
        <w:rPr>
          <w:rFonts w:ascii="Arial" w:hAnsi="Arial" w:cs="Arial"/>
          <w:sz w:val="16"/>
          <w:szCs w:val="16"/>
        </w:rPr>
        <w:t>2</w:t>
      </w:r>
      <w:r w:rsidRPr="009C3ECE">
        <w:rPr>
          <w:rFonts w:ascii="Arial" w:hAnsi="Arial" w:cs="Arial"/>
          <w:sz w:val="16"/>
          <w:szCs w:val="16"/>
        </w:rPr>
        <w:t xml:space="preserve"> de la Encuesta Nacional de Ocupación y Empleo </w:t>
      </w:r>
      <w:r w:rsidR="00A4332F">
        <w:rPr>
          <w:rFonts w:ascii="Arial" w:hAnsi="Arial" w:cs="Arial"/>
          <w:sz w:val="16"/>
          <w:szCs w:val="16"/>
        </w:rPr>
        <w:t xml:space="preserve">Nueva Edición </w:t>
      </w:r>
      <w:r w:rsidRPr="009C3ECE">
        <w:rPr>
          <w:rFonts w:ascii="Arial" w:hAnsi="Arial" w:cs="Arial"/>
          <w:sz w:val="16"/>
          <w:szCs w:val="16"/>
        </w:rPr>
        <w:t>(ENOE</w:t>
      </w:r>
      <w:r w:rsidR="00A4332F" w:rsidRPr="00F95A40">
        <w:rPr>
          <w:rFonts w:ascii="Arial" w:hAnsi="Arial" w:cs="Arial"/>
          <w:sz w:val="16"/>
          <w:szCs w:val="16"/>
          <w:vertAlign w:val="superscript"/>
        </w:rPr>
        <w:t>N</w:t>
      </w:r>
      <w:r w:rsidRPr="009C3ECE">
        <w:rPr>
          <w:rFonts w:ascii="Arial" w:hAnsi="Arial" w:cs="Arial"/>
          <w:sz w:val="16"/>
          <w:szCs w:val="16"/>
        </w:rPr>
        <w:t xml:space="preserve">). El personal ocupado corresponde a </w:t>
      </w:r>
      <w:r>
        <w:rPr>
          <w:rFonts w:ascii="Arial" w:hAnsi="Arial" w:cs="Arial"/>
          <w:sz w:val="16"/>
          <w:szCs w:val="16"/>
        </w:rPr>
        <w:t>«</w:t>
      </w:r>
      <w:r w:rsidRPr="009C3ECE">
        <w:rPr>
          <w:rFonts w:ascii="Arial" w:hAnsi="Arial" w:cs="Arial"/>
          <w:sz w:val="16"/>
          <w:szCs w:val="16"/>
        </w:rPr>
        <w:t>Personas de 15</w:t>
      </w:r>
      <w:r w:rsidR="00E57029">
        <w:rPr>
          <w:rFonts w:ascii="Arial" w:hAnsi="Arial" w:cs="Arial"/>
          <w:sz w:val="16"/>
          <w:szCs w:val="16"/>
        </w:rPr>
        <w:t xml:space="preserve"> </w:t>
      </w:r>
      <w:proofErr w:type="gramStart"/>
      <w:r w:rsidR="00E57029">
        <w:rPr>
          <w:rFonts w:ascii="Arial" w:hAnsi="Arial" w:cs="Arial"/>
          <w:sz w:val="16"/>
          <w:szCs w:val="16"/>
        </w:rPr>
        <w:t>años</w:t>
      </w:r>
      <w:r w:rsidR="00CA49BD">
        <w:rPr>
          <w:rFonts w:ascii="Arial" w:hAnsi="Arial" w:cs="Arial"/>
          <w:sz w:val="16"/>
          <w:szCs w:val="16"/>
        </w:rPr>
        <w:t xml:space="preserve"> de edad</w:t>
      </w:r>
      <w:proofErr w:type="gramEnd"/>
      <w:r w:rsidRPr="009C3ECE">
        <w:rPr>
          <w:rFonts w:ascii="Arial" w:hAnsi="Arial" w:cs="Arial"/>
          <w:sz w:val="16"/>
          <w:szCs w:val="16"/>
        </w:rPr>
        <w:t xml:space="preserve"> y más que en la semana de referencia realizaron alguna actividad económica durante al menos una hora. Incluye a </w:t>
      </w:r>
      <w:r w:rsidR="00E542EB">
        <w:rPr>
          <w:rFonts w:ascii="Arial" w:hAnsi="Arial" w:cs="Arial"/>
          <w:sz w:val="16"/>
          <w:szCs w:val="16"/>
        </w:rPr>
        <w:t xml:space="preserve">las y </w:t>
      </w:r>
      <w:r w:rsidRPr="009C3ECE">
        <w:rPr>
          <w:rFonts w:ascii="Arial" w:hAnsi="Arial" w:cs="Arial"/>
          <w:sz w:val="16"/>
          <w:szCs w:val="16"/>
        </w:rPr>
        <w:t>los ocupados que tenían trabajo, pero no lo desempeñaron temporalmente por alguna razón, sin que por ello perdieran el vínculo laboral con este; así como a quienes ayudaron en alguna actividad económica sin recibir un sueldo o salario</w:t>
      </w:r>
      <w:r>
        <w:rPr>
          <w:rFonts w:ascii="Arial" w:hAnsi="Arial" w:cs="Arial"/>
          <w:sz w:val="16"/>
          <w:szCs w:val="16"/>
        </w:rPr>
        <w:t>»</w:t>
      </w:r>
      <w:r w:rsidRPr="009C3ECE">
        <w:rPr>
          <w:rFonts w:ascii="Arial" w:hAnsi="Arial" w:cs="Arial"/>
          <w:sz w:val="16"/>
          <w:szCs w:val="16"/>
        </w:rPr>
        <w:t>.</w:t>
      </w:r>
    </w:p>
  </w:footnote>
  <w:footnote w:id="5">
    <w:p w14:paraId="016AB71B" w14:textId="247C6749" w:rsidR="00003210" w:rsidRPr="0048568B" w:rsidRDefault="00305991" w:rsidP="001D3FF0">
      <w:pPr>
        <w:pStyle w:val="Textoindependiente"/>
        <w:kinsoku w:val="0"/>
        <w:overflowPunct w:val="0"/>
        <w:ind w:left="142" w:right="-350" w:hanging="142"/>
        <w:jc w:val="both"/>
        <w:rPr>
          <w:sz w:val="16"/>
          <w:szCs w:val="16"/>
        </w:rPr>
      </w:pPr>
      <w:r w:rsidRPr="001F61D4">
        <w:rPr>
          <w:rStyle w:val="Refdenotaalpie"/>
          <w:sz w:val="16"/>
          <w:szCs w:val="16"/>
        </w:rPr>
        <w:footnoteRef/>
      </w:r>
      <w:r w:rsidR="00A6191A">
        <w:rPr>
          <w:sz w:val="16"/>
          <w:szCs w:val="16"/>
        </w:rPr>
        <w:t xml:space="preserve">  </w:t>
      </w:r>
      <w:r w:rsidR="00003210" w:rsidRPr="0048568B">
        <w:rPr>
          <w:sz w:val="16"/>
          <w:szCs w:val="16"/>
        </w:rPr>
        <w:t xml:space="preserve">El detalle de los conflictos de trabajo por entidad federativa se presenta en la tabla </w:t>
      </w:r>
      <w:r w:rsidR="009738B4">
        <w:rPr>
          <w:sz w:val="16"/>
          <w:szCs w:val="16"/>
        </w:rPr>
        <w:t>1</w:t>
      </w:r>
      <w:r w:rsidR="00003210">
        <w:rPr>
          <w:sz w:val="16"/>
          <w:szCs w:val="16"/>
        </w:rPr>
        <w:t xml:space="preserve">. El de conflictos </w:t>
      </w:r>
      <w:r w:rsidR="00003210" w:rsidRPr="0048568B">
        <w:rPr>
          <w:sz w:val="16"/>
          <w:szCs w:val="16"/>
        </w:rPr>
        <w:t xml:space="preserve">por sector de actividad </w:t>
      </w:r>
      <w:r w:rsidR="00CC0CE3" w:rsidRPr="0048568B">
        <w:rPr>
          <w:sz w:val="16"/>
          <w:szCs w:val="16"/>
        </w:rPr>
        <w:t xml:space="preserve">económica, </w:t>
      </w:r>
      <w:r w:rsidR="00003210" w:rsidRPr="0048568B">
        <w:rPr>
          <w:sz w:val="16"/>
          <w:szCs w:val="16"/>
        </w:rPr>
        <w:t xml:space="preserve">en la tabla </w:t>
      </w:r>
      <w:r w:rsidR="004D7895">
        <w:rPr>
          <w:sz w:val="16"/>
          <w:szCs w:val="16"/>
        </w:rPr>
        <w:t>2</w:t>
      </w:r>
      <w:r w:rsidR="00003210" w:rsidRPr="0048568B">
        <w:rPr>
          <w:sz w:val="16"/>
          <w:szCs w:val="16"/>
        </w:rPr>
        <w:t xml:space="preserve"> del Anexo </w:t>
      </w:r>
      <w:r w:rsidR="00003210">
        <w:rPr>
          <w:sz w:val="16"/>
          <w:szCs w:val="16"/>
        </w:rPr>
        <w:t>1</w:t>
      </w:r>
      <w:r w:rsidR="00003210" w:rsidRPr="0048568B">
        <w:rPr>
          <w:sz w:val="16"/>
          <w:szCs w:val="16"/>
        </w:rPr>
        <w:t>.</w:t>
      </w:r>
    </w:p>
    <w:p w14:paraId="59534D87" w14:textId="1EB8A4F6" w:rsidR="00305991" w:rsidRDefault="00A6191A" w:rsidP="001D3FF0">
      <w:pPr>
        <w:pStyle w:val="Textonotapie"/>
        <w:ind w:left="142" w:right="-350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3   </w:t>
      </w:r>
      <w:proofErr w:type="gramStart"/>
      <w:r w:rsidR="00305991" w:rsidRPr="001F61D4">
        <w:rPr>
          <w:rFonts w:ascii="Arial" w:hAnsi="Arial" w:cs="Arial"/>
          <w:sz w:val="16"/>
          <w:szCs w:val="16"/>
        </w:rPr>
        <w:t>Información</w:t>
      </w:r>
      <w:proofErr w:type="gramEnd"/>
      <w:r w:rsidR="00305991" w:rsidRPr="001F61D4">
        <w:rPr>
          <w:rFonts w:ascii="Arial" w:hAnsi="Arial" w:cs="Arial"/>
          <w:sz w:val="16"/>
          <w:szCs w:val="16"/>
        </w:rPr>
        <w:t xml:space="preserve"> correspondiente al cuarto trimestre de 2022 de la ENOE</w:t>
      </w:r>
      <w:r w:rsidR="004D7895" w:rsidRPr="00F95A40">
        <w:rPr>
          <w:rFonts w:ascii="Arial" w:hAnsi="Arial" w:cs="Arial"/>
          <w:sz w:val="16"/>
          <w:szCs w:val="16"/>
          <w:vertAlign w:val="superscript"/>
        </w:rPr>
        <w:t>N</w:t>
      </w:r>
      <w:r w:rsidR="00305991" w:rsidRPr="001F61D4">
        <w:rPr>
          <w:rFonts w:ascii="Arial" w:hAnsi="Arial" w:cs="Arial"/>
          <w:sz w:val="16"/>
          <w:szCs w:val="16"/>
        </w:rPr>
        <w:t xml:space="preserve">. El personal ocupado corresponde a «Personas de 15 </w:t>
      </w:r>
      <w:proofErr w:type="gramStart"/>
      <w:r w:rsidR="008A1D2B">
        <w:rPr>
          <w:rFonts w:ascii="Arial" w:hAnsi="Arial" w:cs="Arial"/>
          <w:sz w:val="16"/>
          <w:szCs w:val="16"/>
        </w:rPr>
        <w:t xml:space="preserve">años </w:t>
      </w:r>
      <w:r w:rsidR="000B1E74">
        <w:rPr>
          <w:rFonts w:ascii="Arial" w:hAnsi="Arial" w:cs="Arial"/>
          <w:sz w:val="16"/>
          <w:szCs w:val="16"/>
        </w:rPr>
        <w:t>de edad</w:t>
      </w:r>
      <w:proofErr w:type="gramEnd"/>
      <w:r w:rsidR="000B1E74">
        <w:rPr>
          <w:rFonts w:ascii="Arial" w:hAnsi="Arial" w:cs="Arial"/>
          <w:sz w:val="16"/>
          <w:szCs w:val="16"/>
        </w:rPr>
        <w:t xml:space="preserve"> </w:t>
      </w:r>
      <w:r w:rsidR="00305991" w:rsidRPr="001F61D4">
        <w:rPr>
          <w:rFonts w:ascii="Arial" w:hAnsi="Arial" w:cs="Arial"/>
          <w:sz w:val="16"/>
          <w:szCs w:val="16"/>
        </w:rPr>
        <w:t>y más que en la semana de referencia realizaron alguna actividad económica durante al menos una hora. Incluye a las y los ocupados que tenían trabajo, pero no lo desempeñaron temporalmente por alguna razón, sin que por ello perdieran el vínculo laboral con este; así</w:t>
      </w:r>
      <w:r w:rsidR="00305991" w:rsidRPr="009C3ECE">
        <w:rPr>
          <w:rFonts w:ascii="Arial" w:hAnsi="Arial" w:cs="Arial"/>
          <w:sz w:val="16"/>
          <w:szCs w:val="16"/>
        </w:rPr>
        <w:t xml:space="preserve"> como a quienes ayudaron en alguna actividad económica sin recibir un sueldo o salario</w:t>
      </w:r>
      <w:r w:rsidR="00305991">
        <w:rPr>
          <w:rFonts w:ascii="Arial" w:hAnsi="Arial" w:cs="Arial"/>
          <w:sz w:val="16"/>
          <w:szCs w:val="16"/>
        </w:rPr>
        <w:t>»</w:t>
      </w:r>
      <w:r w:rsidR="00305991" w:rsidRPr="009C3ECE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39C" w14:textId="77777777" w:rsidR="00305991" w:rsidRDefault="00305991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86DF6AF" wp14:editId="1A4FAF00">
              <wp:simplePos x="0" y="0"/>
              <wp:positionH relativeFrom="margin">
                <wp:posOffset>3236794</wp:posOffset>
              </wp:positionH>
              <wp:positionV relativeFrom="page">
                <wp:posOffset>354842</wp:posOffset>
              </wp:positionV>
              <wp:extent cx="3090924" cy="528320"/>
              <wp:effectExtent l="0" t="0" r="146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924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8F2F1" w14:textId="5A93E964" w:rsidR="00305991" w:rsidRDefault="00305991" w:rsidP="00652104">
                          <w:pPr>
                            <w:pStyle w:val="Textoindependiente"/>
                            <w:kinsoku w:val="0"/>
                            <w:overflowPunct w:val="0"/>
                            <w:ind w:left="1352" w:right="18" w:hanging="1333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pacing w:val="-1"/>
                            </w:rPr>
                            <w:t>COMUNICADO</w:t>
                          </w:r>
                          <w:r>
                            <w:rPr>
                              <w:b/>
                              <w:bCs/>
                              <w:color w:val="17365D"/>
                            </w:rPr>
                            <w:t xml:space="preserve"> DE PRENSA </w:t>
                          </w:r>
                          <w:r>
                            <w:rPr>
                              <w:b/>
                              <w:bCs/>
                              <w:color w:val="17365D"/>
                              <w:spacing w:val="-1"/>
                            </w:rPr>
                            <w:t>NÚM.</w:t>
                          </w:r>
                          <w:r>
                            <w:rPr>
                              <w:b/>
                              <w:bCs/>
                              <w:color w:val="17365D"/>
                              <w:spacing w:val="2"/>
                            </w:rPr>
                            <w:t xml:space="preserve"> </w:t>
                          </w:r>
                          <w:r w:rsidR="00A961EE">
                            <w:rPr>
                              <w:b/>
                              <w:bCs/>
                              <w:color w:val="17365D"/>
                              <w:spacing w:val="2"/>
                            </w:rPr>
                            <w:t>380</w:t>
                          </w:r>
                          <w:r>
                            <w:rPr>
                              <w:b/>
                              <w:bCs/>
                              <w:color w:val="17365D"/>
                              <w:spacing w:val="2"/>
                            </w:rPr>
                            <w:t>/23</w:t>
                          </w:r>
                          <w:r>
                            <w:rPr>
                              <w:b/>
                              <w:bCs/>
                              <w:color w:val="17365D"/>
                              <w:spacing w:val="27"/>
                            </w:rPr>
                            <w:t xml:space="preserve"> 28</w:t>
                          </w:r>
                          <w:r>
                            <w:rPr>
                              <w:b/>
                              <w:bCs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365D"/>
                            </w:rPr>
                            <w:t>DE</w:t>
                          </w:r>
                          <w:r>
                            <w:rPr>
                              <w:b/>
                              <w:bCs/>
                              <w:color w:val="17365D"/>
                              <w:spacing w:val="-2"/>
                            </w:rPr>
                            <w:t xml:space="preserve"> JUNIO</w:t>
                          </w:r>
                          <w:r>
                            <w:rPr>
                              <w:b/>
                              <w:bCs/>
                              <w:color w:val="17365D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365D"/>
                            </w:rPr>
                            <w:t xml:space="preserve">DE </w:t>
                          </w:r>
                          <w:r>
                            <w:rPr>
                              <w:b/>
                              <w:bCs/>
                              <w:color w:val="17365D"/>
                              <w:spacing w:val="-1"/>
                            </w:rPr>
                            <w:t>2023</w:t>
                          </w:r>
                        </w:p>
                        <w:p w14:paraId="1C8CF76C" w14:textId="66C025B9" w:rsidR="00305991" w:rsidRDefault="00305991" w:rsidP="00652104">
                          <w:pPr>
                            <w:pStyle w:val="Textoindependiente"/>
                            <w:kinsoku w:val="0"/>
                            <w:overflowPunct w:val="0"/>
                            <w:ind w:left="0" w:right="18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</w:rPr>
                            <w:t xml:space="preserve">PÁGINA </w:t>
                          </w:r>
                          <w:r w:rsidRPr="00644151">
                            <w:rPr>
                              <w:b/>
                              <w:bCs/>
                              <w:color w:val="17365D"/>
                            </w:rPr>
                            <w:fldChar w:fldCharType="begin"/>
                          </w:r>
                          <w:r w:rsidRPr="00644151">
                            <w:rPr>
                              <w:b/>
                              <w:bCs/>
                              <w:color w:val="17365D"/>
                            </w:rPr>
                            <w:instrText>PAGE   \* MERGEFORMAT</w:instrText>
                          </w:r>
                          <w:r w:rsidRPr="00644151">
                            <w:rPr>
                              <w:b/>
                              <w:bCs/>
                              <w:color w:val="17365D"/>
                            </w:rPr>
                            <w:fldChar w:fldCharType="separate"/>
                          </w:r>
                          <w:r w:rsidRPr="00B75F93">
                            <w:rPr>
                              <w:b/>
                              <w:bCs/>
                              <w:noProof/>
                              <w:color w:val="17365D"/>
                              <w:lang w:val="es-ES"/>
                            </w:rPr>
                            <w:t>24</w:t>
                          </w:r>
                          <w:r w:rsidRPr="00644151">
                            <w:rPr>
                              <w:b/>
                              <w:bCs/>
                              <w:color w:val="17365D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17365D"/>
                            </w:rPr>
                            <w:t>/</w:t>
                          </w:r>
                          <w:r w:rsidR="00E81925">
                            <w:rPr>
                              <w:b/>
                              <w:bCs/>
                              <w:color w:val="17365D"/>
                            </w:rPr>
                            <w:t>3</w:t>
                          </w:r>
                          <w:r w:rsidR="00D82492">
                            <w:rPr>
                              <w:b/>
                              <w:bCs/>
                              <w:color w:val="17365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86DF6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85pt;margin-top:27.95pt;width:243.4pt;height:41.6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" o:allowincell="f" filled="f" stroked="f">
              <v:textbox inset="0,0,0,0">
                <w:txbxContent>
                  <w:p w14:paraId="4FF8F2F1" w14:textId="5A93E964" w:rsidR="00305991" w:rsidRDefault="00305991" w:rsidP="00652104">
                    <w:pPr>
                      <w:pStyle w:val="Textoindependiente"/>
                      <w:kinsoku w:val="0"/>
                      <w:overflowPunct w:val="0"/>
                      <w:ind w:left="1352" w:right="18" w:hanging="1333"/>
                      <w:jc w:val="right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17365D"/>
                        <w:spacing w:val="-1"/>
                      </w:rPr>
                      <w:t>COMUNICADO</w:t>
                    </w:r>
                    <w:r>
                      <w:rPr>
                        <w:b/>
                        <w:bCs/>
                        <w:color w:val="17365D"/>
                      </w:rPr>
                      <w:t xml:space="preserve"> DE PRENSA </w:t>
                    </w:r>
                    <w:r>
                      <w:rPr>
                        <w:b/>
                        <w:bCs/>
                        <w:color w:val="17365D"/>
                        <w:spacing w:val="-1"/>
                      </w:rPr>
                      <w:t>NÚM.</w:t>
                    </w:r>
                    <w:r>
                      <w:rPr>
                        <w:b/>
                        <w:bCs/>
                        <w:color w:val="17365D"/>
                        <w:spacing w:val="2"/>
                      </w:rPr>
                      <w:t xml:space="preserve"> </w:t>
                    </w:r>
                    <w:r w:rsidR="00A961EE">
                      <w:rPr>
                        <w:b/>
                        <w:bCs/>
                        <w:color w:val="17365D"/>
                        <w:spacing w:val="2"/>
                      </w:rPr>
                      <w:t>380</w:t>
                    </w:r>
                    <w:r>
                      <w:rPr>
                        <w:b/>
                        <w:bCs/>
                        <w:color w:val="17365D"/>
                        <w:spacing w:val="2"/>
                      </w:rPr>
                      <w:t>/23</w:t>
                    </w:r>
                    <w:r>
                      <w:rPr>
                        <w:b/>
                        <w:bCs/>
                        <w:color w:val="17365D"/>
                        <w:spacing w:val="27"/>
                      </w:rPr>
                      <w:t xml:space="preserve"> 28</w:t>
                    </w:r>
                    <w:r>
                      <w:rPr>
                        <w:b/>
                        <w:bCs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b/>
                        <w:bCs/>
                        <w:color w:val="17365D"/>
                      </w:rPr>
                      <w:t>DE</w:t>
                    </w:r>
                    <w:r>
                      <w:rPr>
                        <w:b/>
                        <w:bCs/>
                        <w:color w:val="17365D"/>
                        <w:spacing w:val="-2"/>
                      </w:rPr>
                      <w:t xml:space="preserve"> JUNIO</w:t>
                    </w:r>
                    <w:r>
                      <w:rPr>
                        <w:b/>
                        <w:bCs/>
                        <w:color w:val="17365D"/>
                        <w:spacing w:val="2"/>
                      </w:rPr>
                      <w:t xml:space="preserve"> </w:t>
                    </w:r>
                    <w:r>
                      <w:rPr>
                        <w:b/>
                        <w:bCs/>
                        <w:color w:val="17365D"/>
                      </w:rPr>
                      <w:t xml:space="preserve">DE </w:t>
                    </w:r>
                    <w:r>
                      <w:rPr>
                        <w:b/>
                        <w:bCs/>
                        <w:color w:val="17365D"/>
                        <w:spacing w:val="-1"/>
                      </w:rPr>
                      <w:t>2023</w:t>
                    </w:r>
                  </w:p>
                  <w:p w14:paraId="1C8CF76C" w14:textId="66C025B9" w:rsidR="00305991" w:rsidRDefault="00305991" w:rsidP="00652104">
                    <w:pPr>
                      <w:pStyle w:val="Textoindependiente"/>
                      <w:kinsoku w:val="0"/>
                      <w:overflowPunct w:val="0"/>
                      <w:ind w:left="0" w:right="18"/>
                      <w:jc w:val="right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17365D"/>
                      </w:rPr>
                      <w:t xml:space="preserve">PÁGINA </w:t>
                    </w:r>
                    <w:r w:rsidRPr="00644151">
                      <w:rPr>
                        <w:b/>
                        <w:bCs/>
                        <w:color w:val="17365D"/>
                      </w:rPr>
                      <w:fldChar w:fldCharType="begin"/>
                    </w:r>
                    <w:r w:rsidRPr="00644151">
                      <w:rPr>
                        <w:b/>
                        <w:bCs/>
                        <w:color w:val="17365D"/>
                      </w:rPr>
                      <w:instrText>PAGE   \* MERGEFORMAT</w:instrText>
                    </w:r>
                    <w:r w:rsidRPr="00644151">
                      <w:rPr>
                        <w:b/>
                        <w:bCs/>
                        <w:color w:val="17365D"/>
                      </w:rPr>
                      <w:fldChar w:fldCharType="separate"/>
                    </w:r>
                    <w:r w:rsidRPr="00B75F93">
                      <w:rPr>
                        <w:b/>
                        <w:bCs/>
                        <w:noProof/>
                        <w:color w:val="17365D"/>
                        <w:lang w:val="es-ES"/>
                      </w:rPr>
                      <w:t>24</w:t>
                    </w:r>
                    <w:r w:rsidRPr="00644151">
                      <w:rPr>
                        <w:b/>
                        <w:bCs/>
                        <w:color w:val="17365D"/>
                      </w:rPr>
                      <w:fldChar w:fldCharType="end"/>
                    </w:r>
                    <w:r>
                      <w:rPr>
                        <w:b/>
                        <w:bCs/>
                        <w:color w:val="17365D"/>
                      </w:rPr>
                      <w:t>/</w:t>
                    </w:r>
                    <w:r w:rsidR="00E81925">
                      <w:rPr>
                        <w:b/>
                        <w:bCs/>
                        <w:color w:val="17365D"/>
                      </w:rPr>
                      <w:t>3</w:t>
                    </w:r>
                    <w:r w:rsidR="00D82492">
                      <w:rPr>
                        <w:b/>
                        <w:bCs/>
                        <w:color w:val="17365D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15D3A938" wp14:editId="740F7613">
              <wp:simplePos x="0" y="0"/>
              <wp:positionH relativeFrom="page">
                <wp:posOffset>825500</wp:posOffset>
              </wp:positionH>
              <wp:positionV relativeFrom="page">
                <wp:posOffset>257175</wp:posOffset>
              </wp:positionV>
              <wp:extent cx="939800" cy="9779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80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1F440" w14:textId="77777777" w:rsidR="00305991" w:rsidRDefault="00305991" w:rsidP="00CD5DDB">
                          <w:pPr>
                            <w:widowControl/>
                            <w:autoSpaceDE/>
                            <w:autoSpaceDN/>
                            <w:adjustRightInd/>
                            <w:spacing w:line="1540" w:lineRule="atLeast"/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45D30A" wp14:editId="40BE29D5">
                                <wp:extent cx="955675" cy="988695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5675" cy="98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13DE2B" w14:textId="77777777" w:rsidR="00305991" w:rsidRDefault="0030599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5D3A938" id="Rectangle 1" o:spid="_x0000_s1027" style="position:absolute;margin-left:65pt;margin-top:20.25pt;width:74pt;height:7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" o:allowincell="f" filled="f" stroked="f">
              <v:textbox inset="0,0,0,0">
                <w:txbxContent>
                  <w:p w14:paraId="0551F440" w14:textId="77777777" w:rsidR="00305991" w:rsidRDefault="00305991" w:rsidP="00CD5DDB">
                    <w:pPr>
                      <w:widowControl/>
                      <w:autoSpaceDE/>
                      <w:autoSpaceDN/>
                      <w:adjustRightInd/>
                      <w:spacing w:line="1540" w:lineRule="atLeast"/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45D30A" wp14:editId="40BE29D5">
                          <wp:extent cx="955675" cy="988695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5675" cy="98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13DE2B" w14:textId="77777777" w:rsidR="00305991" w:rsidRDefault="00305991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1479" w14:textId="40E12B07" w:rsidR="00575C71" w:rsidRDefault="00575C71" w:rsidP="00F95A40">
    <w:pPr>
      <w:pStyle w:val="Encabezado"/>
      <w:tabs>
        <w:tab w:val="clear" w:pos="4419"/>
        <w:tab w:val="clear" w:pos="8838"/>
      </w:tabs>
      <w:ind w:left="-142" w:right="-492" w:hanging="142"/>
      <w:jc w:val="right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42535D6" wp14:editId="6FB12809">
          <wp:simplePos x="0" y="0"/>
          <wp:positionH relativeFrom="margin">
            <wp:posOffset>2676525</wp:posOffset>
          </wp:positionH>
          <wp:positionV relativeFrom="paragraph">
            <wp:posOffset>-29700</wp:posOffset>
          </wp:positionV>
          <wp:extent cx="952004" cy="990600"/>
          <wp:effectExtent l="0" t="0" r="635" b="0"/>
          <wp:wrapNone/>
          <wp:docPr id="16" name="Imagen 16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00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97D7B" w14:textId="0A0F3B97" w:rsidR="00305991" w:rsidRDefault="00305991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34" w:hanging="425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106" w:hanging="425"/>
      </w:pPr>
    </w:lvl>
    <w:lvl w:ilvl="2">
      <w:numFmt w:val="bullet"/>
      <w:lvlText w:val="•"/>
      <w:lvlJc w:val="left"/>
      <w:pPr>
        <w:ind w:left="2979" w:hanging="425"/>
      </w:pPr>
    </w:lvl>
    <w:lvl w:ilvl="3">
      <w:numFmt w:val="bullet"/>
      <w:lvlText w:val="•"/>
      <w:lvlJc w:val="left"/>
      <w:pPr>
        <w:ind w:left="3851" w:hanging="425"/>
      </w:pPr>
    </w:lvl>
    <w:lvl w:ilvl="4">
      <w:numFmt w:val="bullet"/>
      <w:lvlText w:val="•"/>
      <w:lvlJc w:val="left"/>
      <w:pPr>
        <w:ind w:left="4724" w:hanging="425"/>
      </w:pPr>
    </w:lvl>
    <w:lvl w:ilvl="5">
      <w:numFmt w:val="bullet"/>
      <w:lvlText w:val="•"/>
      <w:lvlJc w:val="left"/>
      <w:pPr>
        <w:ind w:left="5597" w:hanging="425"/>
      </w:pPr>
    </w:lvl>
    <w:lvl w:ilvl="6">
      <w:numFmt w:val="bullet"/>
      <w:lvlText w:val="•"/>
      <w:lvlJc w:val="left"/>
      <w:pPr>
        <w:ind w:left="6469" w:hanging="425"/>
      </w:pPr>
    </w:lvl>
    <w:lvl w:ilvl="7">
      <w:numFmt w:val="bullet"/>
      <w:lvlText w:val="•"/>
      <w:lvlJc w:val="left"/>
      <w:pPr>
        <w:ind w:left="7342" w:hanging="425"/>
      </w:pPr>
    </w:lvl>
    <w:lvl w:ilvl="8">
      <w:numFmt w:val="bullet"/>
      <w:lvlText w:val="•"/>
      <w:lvlJc w:val="left"/>
      <w:pPr>
        <w:ind w:left="8214" w:hanging="425"/>
      </w:pPr>
    </w:lvl>
  </w:abstractNum>
  <w:abstractNum w:abstractNumId="1" w15:restartNumberingAfterBreak="0">
    <w:nsid w:val="00000403"/>
    <w:multiLevelType w:val="multilevel"/>
    <w:tmpl w:val="85EC2D52"/>
    <w:lvl w:ilvl="0">
      <w:start w:val="1"/>
      <w:numFmt w:val="bullet"/>
      <w:lvlText w:val=""/>
      <w:lvlJc w:val="left"/>
      <w:pPr>
        <w:ind w:left="384" w:hanging="284"/>
      </w:pPr>
      <w:rPr>
        <w:rFonts w:ascii="Wingdings" w:hAnsi="Wingdings" w:hint="default"/>
        <w:b w:val="0"/>
        <w:sz w:val="22"/>
      </w:rPr>
    </w:lvl>
    <w:lvl w:ilvl="1">
      <w:numFmt w:val="bullet"/>
      <w:lvlText w:val="•"/>
      <w:lvlJc w:val="left"/>
      <w:pPr>
        <w:ind w:left="1342" w:hanging="284"/>
      </w:pPr>
    </w:lvl>
    <w:lvl w:ilvl="2">
      <w:numFmt w:val="bullet"/>
      <w:lvlText w:val="•"/>
      <w:lvlJc w:val="left"/>
      <w:pPr>
        <w:ind w:left="2299" w:hanging="284"/>
      </w:pPr>
    </w:lvl>
    <w:lvl w:ilvl="3">
      <w:numFmt w:val="bullet"/>
      <w:lvlText w:val="•"/>
      <w:lvlJc w:val="left"/>
      <w:pPr>
        <w:ind w:left="3257" w:hanging="284"/>
      </w:pPr>
    </w:lvl>
    <w:lvl w:ilvl="4">
      <w:numFmt w:val="bullet"/>
      <w:lvlText w:val="•"/>
      <w:lvlJc w:val="left"/>
      <w:pPr>
        <w:ind w:left="4214" w:hanging="284"/>
      </w:pPr>
    </w:lvl>
    <w:lvl w:ilvl="5">
      <w:numFmt w:val="bullet"/>
      <w:lvlText w:val="•"/>
      <w:lvlJc w:val="left"/>
      <w:pPr>
        <w:ind w:left="5172" w:hanging="284"/>
      </w:pPr>
    </w:lvl>
    <w:lvl w:ilvl="6">
      <w:numFmt w:val="bullet"/>
      <w:lvlText w:val="•"/>
      <w:lvlJc w:val="left"/>
      <w:pPr>
        <w:ind w:left="6129" w:hanging="284"/>
      </w:pPr>
    </w:lvl>
    <w:lvl w:ilvl="7">
      <w:numFmt w:val="bullet"/>
      <w:lvlText w:val="•"/>
      <w:lvlJc w:val="left"/>
      <w:pPr>
        <w:ind w:left="7087" w:hanging="284"/>
      </w:pPr>
    </w:lvl>
    <w:lvl w:ilvl="8">
      <w:numFmt w:val="bullet"/>
      <w:lvlText w:val="•"/>
      <w:lvlJc w:val="left"/>
      <w:pPr>
        <w:ind w:left="8044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67"/>
      <w:numFmt w:val="decimal"/>
      <w:lvlText w:val="%1)"/>
      <w:lvlJc w:val="left"/>
      <w:pPr>
        <w:ind w:left="605" w:hanging="504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➢"/>
      <w:lvlJc w:val="left"/>
      <w:pPr>
        <w:ind w:left="742" w:hanging="358"/>
      </w:pPr>
      <w:rPr>
        <w:rFonts w:ascii="Arial Unicode MS" w:eastAsia="Times New Roman"/>
        <w:b w:val="0"/>
        <w:w w:val="85"/>
        <w:sz w:val="24"/>
      </w:rPr>
    </w:lvl>
    <w:lvl w:ilvl="2">
      <w:numFmt w:val="bullet"/>
      <w:lvlText w:val="•"/>
      <w:lvlJc w:val="left"/>
      <w:pPr>
        <w:ind w:left="1755" w:hanging="358"/>
      </w:pPr>
    </w:lvl>
    <w:lvl w:ilvl="3">
      <w:numFmt w:val="bullet"/>
      <w:lvlText w:val="•"/>
      <w:lvlJc w:val="left"/>
      <w:pPr>
        <w:ind w:left="2768" w:hanging="358"/>
      </w:pPr>
    </w:lvl>
    <w:lvl w:ilvl="4">
      <w:numFmt w:val="bullet"/>
      <w:lvlText w:val="•"/>
      <w:lvlJc w:val="left"/>
      <w:pPr>
        <w:ind w:left="3781" w:hanging="358"/>
      </w:pPr>
    </w:lvl>
    <w:lvl w:ilvl="5">
      <w:numFmt w:val="bullet"/>
      <w:lvlText w:val="•"/>
      <w:lvlJc w:val="left"/>
      <w:pPr>
        <w:ind w:left="4794" w:hanging="358"/>
      </w:pPr>
    </w:lvl>
    <w:lvl w:ilvl="6">
      <w:numFmt w:val="bullet"/>
      <w:lvlText w:val="•"/>
      <w:lvlJc w:val="left"/>
      <w:pPr>
        <w:ind w:left="5807" w:hanging="358"/>
      </w:pPr>
    </w:lvl>
    <w:lvl w:ilvl="7">
      <w:numFmt w:val="bullet"/>
      <w:lvlText w:val="•"/>
      <w:lvlJc w:val="left"/>
      <w:pPr>
        <w:ind w:left="6820" w:hanging="358"/>
      </w:pPr>
    </w:lvl>
    <w:lvl w:ilvl="8">
      <w:numFmt w:val="bullet"/>
      <w:lvlText w:val="•"/>
      <w:lvlJc w:val="left"/>
      <w:pPr>
        <w:ind w:left="7833" w:hanging="35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541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73" w:hanging="360"/>
      </w:pPr>
    </w:lvl>
    <w:lvl w:ilvl="2">
      <w:numFmt w:val="bullet"/>
      <w:lvlText w:val="•"/>
      <w:lvlJc w:val="left"/>
      <w:pPr>
        <w:ind w:left="3204" w:hanging="360"/>
      </w:pPr>
    </w:lvl>
    <w:lvl w:ilvl="3">
      <w:numFmt w:val="bullet"/>
      <w:lvlText w:val="•"/>
      <w:lvlJc w:val="left"/>
      <w:pPr>
        <w:ind w:left="4036" w:hanging="360"/>
      </w:pPr>
    </w:lvl>
    <w:lvl w:ilvl="4">
      <w:numFmt w:val="bullet"/>
      <w:lvlText w:val="•"/>
      <w:lvlJc w:val="left"/>
      <w:pPr>
        <w:ind w:left="4868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532" w:hanging="360"/>
      </w:pPr>
    </w:lvl>
    <w:lvl w:ilvl="7">
      <w:numFmt w:val="bullet"/>
      <w:lvlText w:val="•"/>
      <w:lvlJc w:val="left"/>
      <w:pPr>
        <w:ind w:left="7364" w:hanging="360"/>
      </w:pPr>
    </w:lvl>
    <w:lvl w:ilvl="8">
      <w:numFmt w:val="bullet"/>
      <w:lvlText w:val="•"/>
      <w:lvlJc w:val="left"/>
      <w:pPr>
        <w:ind w:left="8196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541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73" w:hanging="360"/>
      </w:pPr>
    </w:lvl>
    <w:lvl w:ilvl="2">
      <w:numFmt w:val="bullet"/>
      <w:lvlText w:val="•"/>
      <w:lvlJc w:val="left"/>
      <w:pPr>
        <w:ind w:left="3204" w:hanging="360"/>
      </w:pPr>
    </w:lvl>
    <w:lvl w:ilvl="3">
      <w:numFmt w:val="bullet"/>
      <w:lvlText w:val="•"/>
      <w:lvlJc w:val="left"/>
      <w:pPr>
        <w:ind w:left="4036" w:hanging="360"/>
      </w:pPr>
    </w:lvl>
    <w:lvl w:ilvl="4">
      <w:numFmt w:val="bullet"/>
      <w:lvlText w:val="•"/>
      <w:lvlJc w:val="left"/>
      <w:pPr>
        <w:ind w:left="4868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532" w:hanging="360"/>
      </w:pPr>
    </w:lvl>
    <w:lvl w:ilvl="7">
      <w:numFmt w:val="bullet"/>
      <w:lvlText w:val="•"/>
      <w:lvlJc w:val="left"/>
      <w:pPr>
        <w:ind w:left="7364" w:hanging="360"/>
      </w:pPr>
    </w:lvl>
    <w:lvl w:ilvl="8">
      <w:numFmt w:val="bullet"/>
      <w:lvlText w:val="•"/>
      <w:lvlJc w:val="left"/>
      <w:pPr>
        <w:ind w:left="8196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69" w:hanging="269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04" w:hanging="404"/>
      </w:pPr>
      <w:rPr>
        <w:rFonts w:ascii="Arial" w:hAnsi="Arial" w:cs="Arial"/>
        <w:b/>
        <w:bCs/>
        <w:sz w:val="24"/>
        <w:szCs w:val="24"/>
      </w:rPr>
    </w:lvl>
    <w:lvl w:ilvl="2">
      <w:numFmt w:val="bullet"/>
      <w:lvlText w:val="•"/>
      <w:lvlJc w:val="left"/>
      <w:pPr>
        <w:ind w:left="667" w:hanging="360"/>
      </w:pPr>
      <w:rPr>
        <w:rFonts w:ascii="Arial" w:hAnsi="Arial"/>
        <w:b w:val="0"/>
        <w:sz w:val="24"/>
      </w:rPr>
    </w:lvl>
    <w:lvl w:ilvl="3">
      <w:numFmt w:val="bullet"/>
      <w:lvlText w:val="•"/>
      <w:lvlJc w:val="left"/>
      <w:pPr>
        <w:ind w:left="667" w:hanging="360"/>
      </w:pPr>
    </w:lvl>
    <w:lvl w:ilvl="4">
      <w:numFmt w:val="bullet"/>
      <w:lvlText w:val="•"/>
      <w:lvlJc w:val="left"/>
      <w:pPr>
        <w:ind w:left="1978" w:hanging="360"/>
      </w:pPr>
    </w:lvl>
    <w:lvl w:ilvl="5">
      <w:numFmt w:val="bullet"/>
      <w:lvlText w:val="•"/>
      <w:lvlJc w:val="left"/>
      <w:pPr>
        <w:ind w:left="3288" w:hanging="360"/>
      </w:pPr>
    </w:lvl>
    <w:lvl w:ilvl="6">
      <w:numFmt w:val="bullet"/>
      <w:lvlText w:val="•"/>
      <w:lvlJc w:val="left"/>
      <w:pPr>
        <w:ind w:left="4598" w:hanging="360"/>
      </w:pPr>
    </w:lvl>
    <w:lvl w:ilvl="7">
      <w:numFmt w:val="bullet"/>
      <w:lvlText w:val="•"/>
      <w:lvlJc w:val="left"/>
      <w:pPr>
        <w:ind w:left="5909" w:hanging="360"/>
      </w:pPr>
    </w:lvl>
    <w:lvl w:ilvl="8">
      <w:numFmt w:val="bullet"/>
      <w:lvlText w:val="•"/>
      <w:lvlJc w:val="left"/>
      <w:pPr>
        <w:ind w:left="7219" w:hanging="360"/>
      </w:pPr>
    </w:lvl>
  </w:abstractNum>
  <w:abstractNum w:abstractNumId="6" w15:restartNumberingAfterBreak="0">
    <w:nsid w:val="11690B91"/>
    <w:multiLevelType w:val="multilevel"/>
    <w:tmpl w:val="D25A8240"/>
    <w:lvl w:ilvl="0">
      <w:start w:val="1"/>
      <w:numFmt w:val="bullet"/>
      <w:lvlText w:val=""/>
      <w:lvlJc w:val="left"/>
      <w:pPr>
        <w:ind w:left="384" w:hanging="284"/>
      </w:pPr>
      <w:rPr>
        <w:rFonts w:ascii="Wingdings" w:hAnsi="Wingdings" w:hint="default"/>
        <w:b w:val="0"/>
        <w:sz w:val="22"/>
      </w:rPr>
    </w:lvl>
    <w:lvl w:ilvl="1">
      <w:numFmt w:val="bullet"/>
      <w:lvlText w:val="•"/>
      <w:lvlJc w:val="left"/>
      <w:pPr>
        <w:ind w:left="1342" w:hanging="284"/>
      </w:pPr>
    </w:lvl>
    <w:lvl w:ilvl="2">
      <w:numFmt w:val="bullet"/>
      <w:lvlText w:val="•"/>
      <w:lvlJc w:val="left"/>
      <w:pPr>
        <w:ind w:left="2299" w:hanging="284"/>
      </w:pPr>
    </w:lvl>
    <w:lvl w:ilvl="3">
      <w:numFmt w:val="bullet"/>
      <w:lvlText w:val="•"/>
      <w:lvlJc w:val="left"/>
      <w:pPr>
        <w:ind w:left="3257" w:hanging="284"/>
      </w:pPr>
    </w:lvl>
    <w:lvl w:ilvl="4">
      <w:numFmt w:val="bullet"/>
      <w:lvlText w:val="•"/>
      <w:lvlJc w:val="left"/>
      <w:pPr>
        <w:ind w:left="4214" w:hanging="284"/>
      </w:pPr>
    </w:lvl>
    <w:lvl w:ilvl="5">
      <w:numFmt w:val="bullet"/>
      <w:lvlText w:val="•"/>
      <w:lvlJc w:val="left"/>
      <w:pPr>
        <w:ind w:left="5172" w:hanging="284"/>
      </w:pPr>
    </w:lvl>
    <w:lvl w:ilvl="6">
      <w:numFmt w:val="bullet"/>
      <w:lvlText w:val="•"/>
      <w:lvlJc w:val="left"/>
      <w:pPr>
        <w:ind w:left="6129" w:hanging="284"/>
      </w:pPr>
    </w:lvl>
    <w:lvl w:ilvl="7">
      <w:numFmt w:val="bullet"/>
      <w:lvlText w:val="•"/>
      <w:lvlJc w:val="left"/>
      <w:pPr>
        <w:ind w:left="7087" w:hanging="284"/>
      </w:pPr>
    </w:lvl>
    <w:lvl w:ilvl="8">
      <w:numFmt w:val="bullet"/>
      <w:lvlText w:val="•"/>
      <w:lvlJc w:val="left"/>
      <w:pPr>
        <w:ind w:left="8044" w:hanging="284"/>
      </w:pPr>
    </w:lvl>
  </w:abstractNum>
  <w:abstractNum w:abstractNumId="7" w15:restartNumberingAfterBreak="0">
    <w:nsid w:val="1C9A694D"/>
    <w:multiLevelType w:val="hybridMultilevel"/>
    <w:tmpl w:val="D58CF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0343"/>
    <w:multiLevelType w:val="hybridMultilevel"/>
    <w:tmpl w:val="A572856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6D7EA1"/>
    <w:multiLevelType w:val="hybridMultilevel"/>
    <w:tmpl w:val="2698DD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B538A"/>
    <w:multiLevelType w:val="hybridMultilevel"/>
    <w:tmpl w:val="25D845D6"/>
    <w:lvl w:ilvl="0" w:tplc="320C422C">
      <w:start w:val="2"/>
      <w:numFmt w:val="decimal"/>
      <w:lvlText w:val="%1."/>
      <w:lvlJc w:val="left"/>
      <w:pPr>
        <w:ind w:left="460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23"/>
    <w:rsid w:val="00002144"/>
    <w:rsid w:val="00003210"/>
    <w:rsid w:val="00003E17"/>
    <w:rsid w:val="00004ACA"/>
    <w:rsid w:val="00005B9A"/>
    <w:rsid w:val="000062A8"/>
    <w:rsid w:val="00006AA0"/>
    <w:rsid w:val="0001025E"/>
    <w:rsid w:val="00010966"/>
    <w:rsid w:val="00011911"/>
    <w:rsid w:val="0001256A"/>
    <w:rsid w:val="0001286D"/>
    <w:rsid w:val="00015FF7"/>
    <w:rsid w:val="000171B3"/>
    <w:rsid w:val="00023467"/>
    <w:rsid w:val="0002350B"/>
    <w:rsid w:val="000262E9"/>
    <w:rsid w:val="000276DD"/>
    <w:rsid w:val="00030453"/>
    <w:rsid w:val="000314D6"/>
    <w:rsid w:val="000338DE"/>
    <w:rsid w:val="0004260C"/>
    <w:rsid w:val="00043178"/>
    <w:rsid w:val="00044607"/>
    <w:rsid w:val="00044768"/>
    <w:rsid w:val="00045F60"/>
    <w:rsid w:val="000519AF"/>
    <w:rsid w:val="00051EAF"/>
    <w:rsid w:val="00052D58"/>
    <w:rsid w:val="00054DB0"/>
    <w:rsid w:val="0005569E"/>
    <w:rsid w:val="00055A57"/>
    <w:rsid w:val="00056E17"/>
    <w:rsid w:val="00056FD6"/>
    <w:rsid w:val="000573EF"/>
    <w:rsid w:val="0006114C"/>
    <w:rsid w:val="00061628"/>
    <w:rsid w:val="000630AF"/>
    <w:rsid w:val="00070664"/>
    <w:rsid w:val="00070DDB"/>
    <w:rsid w:val="00070F65"/>
    <w:rsid w:val="00072ADC"/>
    <w:rsid w:val="00073BA5"/>
    <w:rsid w:val="0007555D"/>
    <w:rsid w:val="000779AF"/>
    <w:rsid w:val="00080B5C"/>
    <w:rsid w:val="00081017"/>
    <w:rsid w:val="00081573"/>
    <w:rsid w:val="00082914"/>
    <w:rsid w:val="00085758"/>
    <w:rsid w:val="00085844"/>
    <w:rsid w:val="00086083"/>
    <w:rsid w:val="000933DC"/>
    <w:rsid w:val="00095114"/>
    <w:rsid w:val="00095CD8"/>
    <w:rsid w:val="000A08DA"/>
    <w:rsid w:val="000A204D"/>
    <w:rsid w:val="000A3989"/>
    <w:rsid w:val="000A4D56"/>
    <w:rsid w:val="000A5058"/>
    <w:rsid w:val="000A51AB"/>
    <w:rsid w:val="000A5FC4"/>
    <w:rsid w:val="000A70E8"/>
    <w:rsid w:val="000B0E9B"/>
    <w:rsid w:val="000B1E74"/>
    <w:rsid w:val="000B31F1"/>
    <w:rsid w:val="000B67D3"/>
    <w:rsid w:val="000B712B"/>
    <w:rsid w:val="000B796F"/>
    <w:rsid w:val="000C32CC"/>
    <w:rsid w:val="000C531E"/>
    <w:rsid w:val="000C6B2D"/>
    <w:rsid w:val="000C7553"/>
    <w:rsid w:val="000C756F"/>
    <w:rsid w:val="000C7BB5"/>
    <w:rsid w:val="000D1FAF"/>
    <w:rsid w:val="000D236E"/>
    <w:rsid w:val="000D28D1"/>
    <w:rsid w:val="000D2F52"/>
    <w:rsid w:val="000D6CD5"/>
    <w:rsid w:val="000D7759"/>
    <w:rsid w:val="000D79DC"/>
    <w:rsid w:val="000E2CB4"/>
    <w:rsid w:val="000E6C08"/>
    <w:rsid w:val="000E7A72"/>
    <w:rsid w:val="000F12F3"/>
    <w:rsid w:val="000F5B5A"/>
    <w:rsid w:val="000F6369"/>
    <w:rsid w:val="000F7FCF"/>
    <w:rsid w:val="00100585"/>
    <w:rsid w:val="00100AAB"/>
    <w:rsid w:val="00101150"/>
    <w:rsid w:val="00101501"/>
    <w:rsid w:val="00102553"/>
    <w:rsid w:val="00102880"/>
    <w:rsid w:val="001041F8"/>
    <w:rsid w:val="00105361"/>
    <w:rsid w:val="0010557F"/>
    <w:rsid w:val="00106B75"/>
    <w:rsid w:val="00110442"/>
    <w:rsid w:val="00111312"/>
    <w:rsid w:val="001114A1"/>
    <w:rsid w:val="001126BC"/>
    <w:rsid w:val="00120AD9"/>
    <w:rsid w:val="0012798D"/>
    <w:rsid w:val="0013094C"/>
    <w:rsid w:val="001346E9"/>
    <w:rsid w:val="001362D6"/>
    <w:rsid w:val="0014001C"/>
    <w:rsid w:val="0014145A"/>
    <w:rsid w:val="00144539"/>
    <w:rsid w:val="00144CED"/>
    <w:rsid w:val="0014676F"/>
    <w:rsid w:val="00147A26"/>
    <w:rsid w:val="00150400"/>
    <w:rsid w:val="00151000"/>
    <w:rsid w:val="00153C06"/>
    <w:rsid w:val="001567C3"/>
    <w:rsid w:val="00156E6D"/>
    <w:rsid w:val="001574F0"/>
    <w:rsid w:val="001575A5"/>
    <w:rsid w:val="00157F0F"/>
    <w:rsid w:val="00161276"/>
    <w:rsid w:val="001613C1"/>
    <w:rsid w:val="00162334"/>
    <w:rsid w:val="0016248C"/>
    <w:rsid w:val="00162D51"/>
    <w:rsid w:val="0016457E"/>
    <w:rsid w:val="001708AB"/>
    <w:rsid w:val="001717DC"/>
    <w:rsid w:val="001726D5"/>
    <w:rsid w:val="00173226"/>
    <w:rsid w:val="00173A75"/>
    <w:rsid w:val="00175C43"/>
    <w:rsid w:val="001777F0"/>
    <w:rsid w:val="0017781D"/>
    <w:rsid w:val="0018056F"/>
    <w:rsid w:val="001817AD"/>
    <w:rsid w:val="0018203A"/>
    <w:rsid w:val="0018243B"/>
    <w:rsid w:val="00183D4C"/>
    <w:rsid w:val="00186FF3"/>
    <w:rsid w:val="00187132"/>
    <w:rsid w:val="00191161"/>
    <w:rsid w:val="001920C1"/>
    <w:rsid w:val="00192C3D"/>
    <w:rsid w:val="00192C3E"/>
    <w:rsid w:val="00193B84"/>
    <w:rsid w:val="001A2C66"/>
    <w:rsid w:val="001A3800"/>
    <w:rsid w:val="001A43C8"/>
    <w:rsid w:val="001A5CE7"/>
    <w:rsid w:val="001A6AB7"/>
    <w:rsid w:val="001B05A6"/>
    <w:rsid w:val="001B280E"/>
    <w:rsid w:val="001B2A37"/>
    <w:rsid w:val="001B30DE"/>
    <w:rsid w:val="001B5469"/>
    <w:rsid w:val="001B6ED3"/>
    <w:rsid w:val="001B7C9A"/>
    <w:rsid w:val="001C4C68"/>
    <w:rsid w:val="001C56EA"/>
    <w:rsid w:val="001C734A"/>
    <w:rsid w:val="001D0BE8"/>
    <w:rsid w:val="001D0F59"/>
    <w:rsid w:val="001D3FF0"/>
    <w:rsid w:val="001D43F3"/>
    <w:rsid w:val="001D5112"/>
    <w:rsid w:val="001D5CDD"/>
    <w:rsid w:val="001E01B0"/>
    <w:rsid w:val="001E21A6"/>
    <w:rsid w:val="001E29C8"/>
    <w:rsid w:val="001E391F"/>
    <w:rsid w:val="001E3A89"/>
    <w:rsid w:val="001E409E"/>
    <w:rsid w:val="001E44C8"/>
    <w:rsid w:val="001E5758"/>
    <w:rsid w:val="001E5DD0"/>
    <w:rsid w:val="001E7D09"/>
    <w:rsid w:val="001F0049"/>
    <w:rsid w:val="001F06D6"/>
    <w:rsid w:val="001F2CF1"/>
    <w:rsid w:val="001F4360"/>
    <w:rsid w:val="001F615D"/>
    <w:rsid w:val="001F61D4"/>
    <w:rsid w:val="001F6C3C"/>
    <w:rsid w:val="0020016B"/>
    <w:rsid w:val="00201DED"/>
    <w:rsid w:val="00202A54"/>
    <w:rsid w:val="002035FC"/>
    <w:rsid w:val="00207A75"/>
    <w:rsid w:val="002100F5"/>
    <w:rsid w:val="00210DA7"/>
    <w:rsid w:val="00210F64"/>
    <w:rsid w:val="00212AF6"/>
    <w:rsid w:val="00213C27"/>
    <w:rsid w:val="00213C3B"/>
    <w:rsid w:val="002148B2"/>
    <w:rsid w:val="00214F81"/>
    <w:rsid w:val="0021614F"/>
    <w:rsid w:val="00216875"/>
    <w:rsid w:val="0021756C"/>
    <w:rsid w:val="002206CF"/>
    <w:rsid w:val="00221C4C"/>
    <w:rsid w:val="002226CB"/>
    <w:rsid w:val="0022432F"/>
    <w:rsid w:val="00225308"/>
    <w:rsid w:val="002266BF"/>
    <w:rsid w:val="002308EF"/>
    <w:rsid w:val="002311C4"/>
    <w:rsid w:val="00231897"/>
    <w:rsid w:val="00231B48"/>
    <w:rsid w:val="00232133"/>
    <w:rsid w:val="00234640"/>
    <w:rsid w:val="00235299"/>
    <w:rsid w:val="00235372"/>
    <w:rsid w:val="002378A9"/>
    <w:rsid w:val="00237A01"/>
    <w:rsid w:val="00237DCE"/>
    <w:rsid w:val="002401CF"/>
    <w:rsid w:val="00240E85"/>
    <w:rsid w:val="00240ED1"/>
    <w:rsid w:val="00241999"/>
    <w:rsid w:val="00245138"/>
    <w:rsid w:val="002477F7"/>
    <w:rsid w:val="002507BB"/>
    <w:rsid w:val="00250D09"/>
    <w:rsid w:val="00250EA9"/>
    <w:rsid w:val="00251F65"/>
    <w:rsid w:val="00252604"/>
    <w:rsid w:val="00252A67"/>
    <w:rsid w:val="00252A6F"/>
    <w:rsid w:val="00252C3E"/>
    <w:rsid w:val="002545FA"/>
    <w:rsid w:val="002552ED"/>
    <w:rsid w:val="00257037"/>
    <w:rsid w:val="0025786A"/>
    <w:rsid w:val="002621DC"/>
    <w:rsid w:val="00263DF7"/>
    <w:rsid w:val="0026444F"/>
    <w:rsid w:val="00265C87"/>
    <w:rsid w:val="00265F18"/>
    <w:rsid w:val="00266C1D"/>
    <w:rsid w:val="00267A7B"/>
    <w:rsid w:val="00267C53"/>
    <w:rsid w:val="002705CA"/>
    <w:rsid w:val="002731E7"/>
    <w:rsid w:val="00273795"/>
    <w:rsid w:val="0027740D"/>
    <w:rsid w:val="00283355"/>
    <w:rsid w:val="002835D0"/>
    <w:rsid w:val="002872DF"/>
    <w:rsid w:val="00287941"/>
    <w:rsid w:val="002906AE"/>
    <w:rsid w:val="002917C5"/>
    <w:rsid w:val="00291C87"/>
    <w:rsid w:val="00292513"/>
    <w:rsid w:val="00292B9F"/>
    <w:rsid w:val="00292D69"/>
    <w:rsid w:val="00295773"/>
    <w:rsid w:val="002978D7"/>
    <w:rsid w:val="002A1373"/>
    <w:rsid w:val="002A1B0D"/>
    <w:rsid w:val="002A2091"/>
    <w:rsid w:val="002A2224"/>
    <w:rsid w:val="002A585D"/>
    <w:rsid w:val="002A5A80"/>
    <w:rsid w:val="002A666B"/>
    <w:rsid w:val="002A7B27"/>
    <w:rsid w:val="002B0270"/>
    <w:rsid w:val="002B0944"/>
    <w:rsid w:val="002B2CA9"/>
    <w:rsid w:val="002B3204"/>
    <w:rsid w:val="002B328A"/>
    <w:rsid w:val="002B5490"/>
    <w:rsid w:val="002B654D"/>
    <w:rsid w:val="002B65F6"/>
    <w:rsid w:val="002C4A09"/>
    <w:rsid w:val="002C67F4"/>
    <w:rsid w:val="002D0458"/>
    <w:rsid w:val="002D0ED8"/>
    <w:rsid w:val="002D1333"/>
    <w:rsid w:val="002D1697"/>
    <w:rsid w:val="002D1D61"/>
    <w:rsid w:val="002D2AB2"/>
    <w:rsid w:val="002D3AE2"/>
    <w:rsid w:val="002D3CC1"/>
    <w:rsid w:val="002E168A"/>
    <w:rsid w:val="002E1953"/>
    <w:rsid w:val="002F221D"/>
    <w:rsid w:val="002F287D"/>
    <w:rsid w:val="002F5D2B"/>
    <w:rsid w:val="002F6347"/>
    <w:rsid w:val="002F68F3"/>
    <w:rsid w:val="00303978"/>
    <w:rsid w:val="00305991"/>
    <w:rsid w:val="003062D4"/>
    <w:rsid w:val="003070B5"/>
    <w:rsid w:val="003070E8"/>
    <w:rsid w:val="003075F9"/>
    <w:rsid w:val="003142DB"/>
    <w:rsid w:val="003143D6"/>
    <w:rsid w:val="003178CE"/>
    <w:rsid w:val="003200B6"/>
    <w:rsid w:val="0032114A"/>
    <w:rsid w:val="00324550"/>
    <w:rsid w:val="00325848"/>
    <w:rsid w:val="00326709"/>
    <w:rsid w:val="00327385"/>
    <w:rsid w:val="00327A96"/>
    <w:rsid w:val="0033022F"/>
    <w:rsid w:val="00330C97"/>
    <w:rsid w:val="00330EB2"/>
    <w:rsid w:val="003331BD"/>
    <w:rsid w:val="00333394"/>
    <w:rsid w:val="003336BA"/>
    <w:rsid w:val="00333AF9"/>
    <w:rsid w:val="00337A2C"/>
    <w:rsid w:val="003400E2"/>
    <w:rsid w:val="00340F41"/>
    <w:rsid w:val="00341459"/>
    <w:rsid w:val="003420F6"/>
    <w:rsid w:val="00342301"/>
    <w:rsid w:val="00342CE4"/>
    <w:rsid w:val="00343222"/>
    <w:rsid w:val="0034734F"/>
    <w:rsid w:val="00350E03"/>
    <w:rsid w:val="00353452"/>
    <w:rsid w:val="0035394A"/>
    <w:rsid w:val="00355356"/>
    <w:rsid w:val="003567E8"/>
    <w:rsid w:val="00357FA7"/>
    <w:rsid w:val="00362F3F"/>
    <w:rsid w:val="00363C85"/>
    <w:rsid w:val="00364966"/>
    <w:rsid w:val="0036567E"/>
    <w:rsid w:val="0036770F"/>
    <w:rsid w:val="00372236"/>
    <w:rsid w:val="00374484"/>
    <w:rsid w:val="003747E3"/>
    <w:rsid w:val="0037498C"/>
    <w:rsid w:val="00374BE0"/>
    <w:rsid w:val="00374BF0"/>
    <w:rsid w:val="00377D8A"/>
    <w:rsid w:val="00380A17"/>
    <w:rsid w:val="00381B20"/>
    <w:rsid w:val="00382AEB"/>
    <w:rsid w:val="003831C6"/>
    <w:rsid w:val="00383B5E"/>
    <w:rsid w:val="0038405B"/>
    <w:rsid w:val="0038521C"/>
    <w:rsid w:val="00387A87"/>
    <w:rsid w:val="003905AE"/>
    <w:rsid w:val="0039194B"/>
    <w:rsid w:val="00391C32"/>
    <w:rsid w:val="00392697"/>
    <w:rsid w:val="00393816"/>
    <w:rsid w:val="00394C22"/>
    <w:rsid w:val="003958AC"/>
    <w:rsid w:val="0039732B"/>
    <w:rsid w:val="003A081B"/>
    <w:rsid w:val="003A09D9"/>
    <w:rsid w:val="003A2B35"/>
    <w:rsid w:val="003A3584"/>
    <w:rsid w:val="003A3BC0"/>
    <w:rsid w:val="003A5166"/>
    <w:rsid w:val="003A6465"/>
    <w:rsid w:val="003A6F43"/>
    <w:rsid w:val="003A74D0"/>
    <w:rsid w:val="003B0219"/>
    <w:rsid w:val="003B0AEC"/>
    <w:rsid w:val="003B1E7C"/>
    <w:rsid w:val="003B315E"/>
    <w:rsid w:val="003B55EE"/>
    <w:rsid w:val="003B58D0"/>
    <w:rsid w:val="003B5A86"/>
    <w:rsid w:val="003C0860"/>
    <w:rsid w:val="003C27D6"/>
    <w:rsid w:val="003C28E8"/>
    <w:rsid w:val="003C3390"/>
    <w:rsid w:val="003C38C8"/>
    <w:rsid w:val="003C3F39"/>
    <w:rsid w:val="003C4AC2"/>
    <w:rsid w:val="003C4B70"/>
    <w:rsid w:val="003C6ED8"/>
    <w:rsid w:val="003D1390"/>
    <w:rsid w:val="003D5573"/>
    <w:rsid w:val="003E129A"/>
    <w:rsid w:val="003E2343"/>
    <w:rsid w:val="003E3C0A"/>
    <w:rsid w:val="003E700C"/>
    <w:rsid w:val="003E73BE"/>
    <w:rsid w:val="003F368F"/>
    <w:rsid w:val="003F3EB8"/>
    <w:rsid w:val="003F45C2"/>
    <w:rsid w:val="004007B7"/>
    <w:rsid w:val="004021D7"/>
    <w:rsid w:val="00402B52"/>
    <w:rsid w:val="004049F2"/>
    <w:rsid w:val="00404E93"/>
    <w:rsid w:val="004070E3"/>
    <w:rsid w:val="00410305"/>
    <w:rsid w:val="00413BA8"/>
    <w:rsid w:val="00413FC0"/>
    <w:rsid w:val="00415465"/>
    <w:rsid w:val="00417A5C"/>
    <w:rsid w:val="0042063B"/>
    <w:rsid w:val="00420E25"/>
    <w:rsid w:val="004237CE"/>
    <w:rsid w:val="00430E27"/>
    <w:rsid w:val="00431643"/>
    <w:rsid w:val="00436E3A"/>
    <w:rsid w:val="004375D9"/>
    <w:rsid w:val="00437D2C"/>
    <w:rsid w:val="0044369C"/>
    <w:rsid w:val="00444964"/>
    <w:rsid w:val="0045013C"/>
    <w:rsid w:val="00450423"/>
    <w:rsid w:val="00453562"/>
    <w:rsid w:val="00453B48"/>
    <w:rsid w:val="00457F3C"/>
    <w:rsid w:val="0046202A"/>
    <w:rsid w:val="0046696E"/>
    <w:rsid w:val="004712AB"/>
    <w:rsid w:val="00471659"/>
    <w:rsid w:val="0047165A"/>
    <w:rsid w:val="00472D9B"/>
    <w:rsid w:val="004734C9"/>
    <w:rsid w:val="004759D1"/>
    <w:rsid w:val="00476875"/>
    <w:rsid w:val="0047687C"/>
    <w:rsid w:val="004773F6"/>
    <w:rsid w:val="0048498B"/>
    <w:rsid w:val="0048568B"/>
    <w:rsid w:val="00486B02"/>
    <w:rsid w:val="00486FC3"/>
    <w:rsid w:val="00496C84"/>
    <w:rsid w:val="00496DCF"/>
    <w:rsid w:val="004A152D"/>
    <w:rsid w:val="004A29E5"/>
    <w:rsid w:val="004A2F06"/>
    <w:rsid w:val="004A517A"/>
    <w:rsid w:val="004A6E71"/>
    <w:rsid w:val="004A7631"/>
    <w:rsid w:val="004B2EE5"/>
    <w:rsid w:val="004B3672"/>
    <w:rsid w:val="004B6FEF"/>
    <w:rsid w:val="004C162D"/>
    <w:rsid w:val="004C5B8E"/>
    <w:rsid w:val="004C6E8F"/>
    <w:rsid w:val="004D02BB"/>
    <w:rsid w:val="004D2F95"/>
    <w:rsid w:val="004D3D18"/>
    <w:rsid w:val="004D42D0"/>
    <w:rsid w:val="004D487A"/>
    <w:rsid w:val="004D5576"/>
    <w:rsid w:val="004D7895"/>
    <w:rsid w:val="004D7A49"/>
    <w:rsid w:val="004E490C"/>
    <w:rsid w:val="004E514C"/>
    <w:rsid w:val="004E5890"/>
    <w:rsid w:val="004E61B4"/>
    <w:rsid w:val="004E77F6"/>
    <w:rsid w:val="004E7BFC"/>
    <w:rsid w:val="004F00C4"/>
    <w:rsid w:val="004F17B3"/>
    <w:rsid w:val="004F2EC1"/>
    <w:rsid w:val="004F3E63"/>
    <w:rsid w:val="00500B74"/>
    <w:rsid w:val="005065DC"/>
    <w:rsid w:val="0051375B"/>
    <w:rsid w:val="00514C5E"/>
    <w:rsid w:val="00517070"/>
    <w:rsid w:val="00517792"/>
    <w:rsid w:val="005203CF"/>
    <w:rsid w:val="00520D43"/>
    <w:rsid w:val="00520F62"/>
    <w:rsid w:val="00521189"/>
    <w:rsid w:val="00521204"/>
    <w:rsid w:val="0052214B"/>
    <w:rsid w:val="00524EF9"/>
    <w:rsid w:val="00526C55"/>
    <w:rsid w:val="005277D5"/>
    <w:rsid w:val="00527E1D"/>
    <w:rsid w:val="00530C87"/>
    <w:rsid w:val="005315DE"/>
    <w:rsid w:val="00531F02"/>
    <w:rsid w:val="005323F7"/>
    <w:rsid w:val="00533891"/>
    <w:rsid w:val="005348EE"/>
    <w:rsid w:val="005357A5"/>
    <w:rsid w:val="00535B5E"/>
    <w:rsid w:val="005361F1"/>
    <w:rsid w:val="00536ADC"/>
    <w:rsid w:val="00537E8E"/>
    <w:rsid w:val="00541B1C"/>
    <w:rsid w:val="00545500"/>
    <w:rsid w:val="00547FF2"/>
    <w:rsid w:val="00550F2B"/>
    <w:rsid w:val="0055243F"/>
    <w:rsid w:val="005568C9"/>
    <w:rsid w:val="0055780C"/>
    <w:rsid w:val="00557E29"/>
    <w:rsid w:val="005602A3"/>
    <w:rsid w:val="00560BDC"/>
    <w:rsid w:val="005638C1"/>
    <w:rsid w:val="00565CF4"/>
    <w:rsid w:val="00570325"/>
    <w:rsid w:val="00572412"/>
    <w:rsid w:val="0057256C"/>
    <w:rsid w:val="005726D2"/>
    <w:rsid w:val="00572E5B"/>
    <w:rsid w:val="00575C71"/>
    <w:rsid w:val="0057609B"/>
    <w:rsid w:val="005767A2"/>
    <w:rsid w:val="00577354"/>
    <w:rsid w:val="00580AB7"/>
    <w:rsid w:val="005820FF"/>
    <w:rsid w:val="00582A80"/>
    <w:rsid w:val="005869AD"/>
    <w:rsid w:val="00590129"/>
    <w:rsid w:val="0059185B"/>
    <w:rsid w:val="00595A19"/>
    <w:rsid w:val="0059666D"/>
    <w:rsid w:val="00597045"/>
    <w:rsid w:val="00597CC2"/>
    <w:rsid w:val="00597FA7"/>
    <w:rsid w:val="005A023F"/>
    <w:rsid w:val="005A02F6"/>
    <w:rsid w:val="005A1163"/>
    <w:rsid w:val="005A1795"/>
    <w:rsid w:val="005A3C62"/>
    <w:rsid w:val="005A3CAA"/>
    <w:rsid w:val="005A4291"/>
    <w:rsid w:val="005A53C0"/>
    <w:rsid w:val="005A6637"/>
    <w:rsid w:val="005A6C0C"/>
    <w:rsid w:val="005A6C38"/>
    <w:rsid w:val="005B2B07"/>
    <w:rsid w:val="005B33FD"/>
    <w:rsid w:val="005B349A"/>
    <w:rsid w:val="005B36C2"/>
    <w:rsid w:val="005B3EDF"/>
    <w:rsid w:val="005B540A"/>
    <w:rsid w:val="005C2664"/>
    <w:rsid w:val="005C6DDF"/>
    <w:rsid w:val="005C73C0"/>
    <w:rsid w:val="005D2542"/>
    <w:rsid w:val="005D370F"/>
    <w:rsid w:val="005D4B93"/>
    <w:rsid w:val="005D5C20"/>
    <w:rsid w:val="005D5D3A"/>
    <w:rsid w:val="005D656B"/>
    <w:rsid w:val="005D6699"/>
    <w:rsid w:val="005D7855"/>
    <w:rsid w:val="005E14E7"/>
    <w:rsid w:val="005E23EB"/>
    <w:rsid w:val="005E3D29"/>
    <w:rsid w:val="005E3E45"/>
    <w:rsid w:val="005E4C8C"/>
    <w:rsid w:val="005F0DCE"/>
    <w:rsid w:val="005F0F04"/>
    <w:rsid w:val="005F1AD1"/>
    <w:rsid w:val="005F3743"/>
    <w:rsid w:val="005F519D"/>
    <w:rsid w:val="005F5D84"/>
    <w:rsid w:val="0060009A"/>
    <w:rsid w:val="00603390"/>
    <w:rsid w:val="00604753"/>
    <w:rsid w:val="006055EC"/>
    <w:rsid w:val="00605635"/>
    <w:rsid w:val="00605E05"/>
    <w:rsid w:val="0061195A"/>
    <w:rsid w:val="006131D9"/>
    <w:rsid w:val="006157BA"/>
    <w:rsid w:val="0061695F"/>
    <w:rsid w:val="006176B3"/>
    <w:rsid w:val="00621637"/>
    <w:rsid w:val="006258F2"/>
    <w:rsid w:val="00625B41"/>
    <w:rsid w:val="00625C6D"/>
    <w:rsid w:val="00627C69"/>
    <w:rsid w:val="006341C7"/>
    <w:rsid w:val="006368CC"/>
    <w:rsid w:val="0063730E"/>
    <w:rsid w:val="00640020"/>
    <w:rsid w:val="00642624"/>
    <w:rsid w:val="00643614"/>
    <w:rsid w:val="00643F7D"/>
    <w:rsid w:val="00644151"/>
    <w:rsid w:val="00645D3C"/>
    <w:rsid w:val="0065054C"/>
    <w:rsid w:val="006507E0"/>
    <w:rsid w:val="006507F6"/>
    <w:rsid w:val="00650F43"/>
    <w:rsid w:val="00652104"/>
    <w:rsid w:val="006529A4"/>
    <w:rsid w:val="006549A7"/>
    <w:rsid w:val="00657005"/>
    <w:rsid w:val="00661501"/>
    <w:rsid w:val="0066228D"/>
    <w:rsid w:val="006626E3"/>
    <w:rsid w:val="00665894"/>
    <w:rsid w:val="006666F2"/>
    <w:rsid w:val="006674F4"/>
    <w:rsid w:val="006679F8"/>
    <w:rsid w:val="00667A0A"/>
    <w:rsid w:val="00672003"/>
    <w:rsid w:val="00672F99"/>
    <w:rsid w:val="0067521F"/>
    <w:rsid w:val="0067625F"/>
    <w:rsid w:val="00676975"/>
    <w:rsid w:val="00676F6B"/>
    <w:rsid w:val="00677AEE"/>
    <w:rsid w:val="006802ED"/>
    <w:rsid w:val="006826CD"/>
    <w:rsid w:val="0068375F"/>
    <w:rsid w:val="0068415E"/>
    <w:rsid w:val="00684963"/>
    <w:rsid w:val="00686FC0"/>
    <w:rsid w:val="006878FA"/>
    <w:rsid w:val="006907F1"/>
    <w:rsid w:val="006920DC"/>
    <w:rsid w:val="006921D5"/>
    <w:rsid w:val="006945D6"/>
    <w:rsid w:val="00694640"/>
    <w:rsid w:val="00694F0C"/>
    <w:rsid w:val="006968EC"/>
    <w:rsid w:val="006973BD"/>
    <w:rsid w:val="006A0563"/>
    <w:rsid w:val="006A0882"/>
    <w:rsid w:val="006A106E"/>
    <w:rsid w:val="006A65D7"/>
    <w:rsid w:val="006A6A2C"/>
    <w:rsid w:val="006B0111"/>
    <w:rsid w:val="006B06A0"/>
    <w:rsid w:val="006B0992"/>
    <w:rsid w:val="006B133F"/>
    <w:rsid w:val="006B56ED"/>
    <w:rsid w:val="006B597A"/>
    <w:rsid w:val="006B6F6A"/>
    <w:rsid w:val="006B75C5"/>
    <w:rsid w:val="006B7E13"/>
    <w:rsid w:val="006C0216"/>
    <w:rsid w:val="006C0668"/>
    <w:rsid w:val="006C17C4"/>
    <w:rsid w:val="006C341E"/>
    <w:rsid w:val="006C4D9B"/>
    <w:rsid w:val="006C6C85"/>
    <w:rsid w:val="006C7B07"/>
    <w:rsid w:val="006D122D"/>
    <w:rsid w:val="006D5067"/>
    <w:rsid w:val="006D5DCE"/>
    <w:rsid w:val="006D60E3"/>
    <w:rsid w:val="006D63B2"/>
    <w:rsid w:val="006E050C"/>
    <w:rsid w:val="006E12BD"/>
    <w:rsid w:val="006E241F"/>
    <w:rsid w:val="006E38C1"/>
    <w:rsid w:val="006E4352"/>
    <w:rsid w:val="006E6EC2"/>
    <w:rsid w:val="006E75C6"/>
    <w:rsid w:val="006F06F2"/>
    <w:rsid w:val="006F1003"/>
    <w:rsid w:val="006F176B"/>
    <w:rsid w:val="006F2050"/>
    <w:rsid w:val="006F3800"/>
    <w:rsid w:val="006F54A9"/>
    <w:rsid w:val="006F6D7C"/>
    <w:rsid w:val="007008F1"/>
    <w:rsid w:val="00700A4F"/>
    <w:rsid w:val="00703794"/>
    <w:rsid w:val="00703B7D"/>
    <w:rsid w:val="00705523"/>
    <w:rsid w:val="00705C13"/>
    <w:rsid w:val="0071017C"/>
    <w:rsid w:val="00715670"/>
    <w:rsid w:val="00724436"/>
    <w:rsid w:val="007266BE"/>
    <w:rsid w:val="00726A88"/>
    <w:rsid w:val="00727066"/>
    <w:rsid w:val="007270BA"/>
    <w:rsid w:val="00731468"/>
    <w:rsid w:val="00732513"/>
    <w:rsid w:val="00733AF4"/>
    <w:rsid w:val="00734364"/>
    <w:rsid w:val="00734729"/>
    <w:rsid w:val="00734D80"/>
    <w:rsid w:val="00735542"/>
    <w:rsid w:val="00736EC5"/>
    <w:rsid w:val="00740CCA"/>
    <w:rsid w:val="007413C3"/>
    <w:rsid w:val="0074152A"/>
    <w:rsid w:val="007427CD"/>
    <w:rsid w:val="00743085"/>
    <w:rsid w:val="00747496"/>
    <w:rsid w:val="0074776C"/>
    <w:rsid w:val="00750792"/>
    <w:rsid w:val="0075096A"/>
    <w:rsid w:val="0075252D"/>
    <w:rsid w:val="007528FF"/>
    <w:rsid w:val="00752AE1"/>
    <w:rsid w:val="00757E22"/>
    <w:rsid w:val="00762312"/>
    <w:rsid w:val="007645C4"/>
    <w:rsid w:val="007673FB"/>
    <w:rsid w:val="0076740F"/>
    <w:rsid w:val="0077075D"/>
    <w:rsid w:val="007727C4"/>
    <w:rsid w:val="007745E0"/>
    <w:rsid w:val="007749B5"/>
    <w:rsid w:val="00774F63"/>
    <w:rsid w:val="007754DC"/>
    <w:rsid w:val="007756BF"/>
    <w:rsid w:val="00781027"/>
    <w:rsid w:val="007828FD"/>
    <w:rsid w:val="00784930"/>
    <w:rsid w:val="00785369"/>
    <w:rsid w:val="00785D3B"/>
    <w:rsid w:val="00786890"/>
    <w:rsid w:val="00786DB5"/>
    <w:rsid w:val="00787A0A"/>
    <w:rsid w:val="00787D5A"/>
    <w:rsid w:val="007901FC"/>
    <w:rsid w:val="007908C4"/>
    <w:rsid w:val="00790CFE"/>
    <w:rsid w:val="0079109E"/>
    <w:rsid w:val="00792318"/>
    <w:rsid w:val="00795DD3"/>
    <w:rsid w:val="00795E13"/>
    <w:rsid w:val="00796495"/>
    <w:rsid w:val="007A2126"/>
    <w:rsid w:val="007A24FF"/>
    <w:rsid w:val="007A2B3D"/>
    <w:rsid w:val="007A37EF"/>
    <w:rsid w:val="007B2834"/>
    <w:rsid w:val="007B4A93"/>
    <w:rsid w:val="007B565B"/>
    <w:rsid w:val="007B5C45"/>
    <w:rsid w:val="007C0016"/>
    <w:rsid w:val="007C126D"/>
    <w:rsid w:val="007C27BE"/>
    <w:rsid w:val="007C3C87"/>
    <w:rsid w:val="007C4020"/>
    <w:rsid w:val="007C61AE"/>
    <w:rsid w:val="007C64D7"/>
    <w:rsid w:val="007C6E44"/>
    <w:rsid w:val="007C6F40"/>
    <w:rsid w:val="007D4861"/>
    <w:rsid w:val="007E0579"/>
    <w:rsid w:val="007E2504"/>
    <w:rsid w:val="007E421C"/>
    <w:rsid w:val="007E43FB"/>
    <w:rsid w:val="007F4743"/>
    <w:rsid w:val="007F4D93"/>
    <w:rsid w:val="007F4EB7"/>
    <w:rsid w:val="007F531F"/>
    <w:rsid w:val="00802BFA"/>
    <w:rsid w:val="00803D84"/>
    <w:rsid w:val="008043CC"/>
    <w:rsid w:val="00805A7A"/>
    <w:rsid w:val="00805D74"/>
    <w:rsid w:val="008065CC"/>
    <w:rsid w:val="00806B70"/>
    <w:rsid w:val="008107CC"/>
    <w:rsid w:val="00810D88"/>
    <w:rsid w:val="0081162D"/>
    <w:rsid w:val="00811DE5"/>
    <w:rsid w:val="008128DE"/>
    <w:rsid w:val="00813535"/>
    <w:rsid w:val="00813D30"/>
    <w:rsid w:val="008161B7"/>
    <w:rsid w:val="008169C0"/>
    <w:rsid w:val="0082531F"/>
    <w:rsid w:val="00826587"/>
    <w:rsid w:val="00827461"/>
    <w:rsid w:val="00832F48"/>
    <w:rsid w:val="00834094"/>
    <w:rsid w:val="00834B7F"/>
    <w:rsid w:val="00834DBA"/>
    <w:rsid w:val="008355BC"/>
    <w:rsid w:val="00841A05"/>
    <w:rsid w:val="00841EC0"/>
    <w:rsid w:val="008432ED"/>
    <w:rsid w:val="00846535"/>
    <w:rsid w:val="00847A4A"/>
    <w:rsid w:val="008510F6"/>
    <w:rsid w:val="00852E2B"/>
    <w:rsid w:val="00854C32"/>
    <w:rsid w:val="00855F90"/>
    <w:rsid w:val="0085699C"/>
    <w:rsid w:val="00857D53"/>
    <w:rsid w:val="00860165"/>
    <w:rsid w:val="00862810"/>
    <w:rsid w:val="00863C78"/>
    <w:rsid w:val="0086538D"/>
    <w:rsid w:val="00866185"/>
    <w:rsid w:val="00866F14"/>
    <w:rsid w:val="00866F58"/>
    <w:rsid w:val="008670A4"/>
    <w:rsid w:val="00873A97"/>
    <w:rsid w:val="0087506D"/>
    <w:rsid w:val="008753C3"/>
    <w:rsid w:val="008813E0"/>
    <w:rsid w:val="008815D2"/>
    <w:rsid w:val="00881EE9"/>
    <w:rsid w:val="00884266"/>
    <w:rsid w:val="0088460E"/>
    <w:rsid w:val="00885E2B"/>
    <w:rsid w:val="0088687B"/>
    <w:rsid w:val="00886C83"/>
    <w:rsid w:val="00886F8A"/>
    <w:rsid w:val="00893AFB"/>
    <w:rsid w:val="00895565"/>
    <w:rsid w:val="00895934"/>
    <w:rsid w:val="00896C08"/>
    <w:rsid w:val="00897876"/>
    <w:rsid w:val="00897E34"/>
    <w:rsid w:val="008A01A4"/>
    <w:rsid w:val="008A1D2B"/>
    <w:rsid w:val="008A392F"/>
    <w:rsid w:val="008A4DE4"/>
    <w:rsid w:val="008A61CD"/>
    <w:rsid w:val="008B2477"/>
    <w:rsid w:val="008B4A35"/>
    <w:rsid w:val="008B6E1A"/>
    <w:rsid w:val="008B6FF1"/>
    <w:rsid w:val="008C1D02"/>
    <w:rsid w:val="008C2337"/>
    <w:rsid w:val="008D0D70"/>
    <w:rsid w:val="008D1C15"/>
    <w:rsid w:val="008D4971"/>
    <w:rsid w:val="008D4DC6"/>
    <w:rsid w:val="008D54AA"/>
    <w:rsid w:val="008D62FD"/>
    <w:rsid w:val="008D7338"/>
    <w:rsid w:val="008E1686"/>
    <w:rsid w:val="008E1FA7"/>
    <w:rsid w:val="008E2AC7"/>
    <w:rsid w:val="008E2DD2"/>
    <w:rsid w:val="008E5261"/>
    <w:rsid w:val="008E7DAE"/>
    <w:rsid w:val="008F4AF0"/>
    <w:rsid w:val="008F509B"/>
    <w:rsid w:val="008F6306"/>
    <w:rsid w:val="008F7EF7"/>
    <w:rsid w:val="00903916"/>
    <w:rsid w:val="009044F6"/>
    <w:rsid w:val="00906B40"/>
    <w:rsid w:val="00907258"/>
    <w:rsid w:val="00913225"/>
    <w:rsid w:val="009135DC"/>
    <w:rsid w:val="00913913"/>
    <w:rsid w:val="00913F11"/>
    <w:rsid w:val="00914EED"/>
    <w:rsid w:val="00915342"/>
    <w:rsid w:val="00915986"/>
    <w:rsid w:val="00915D0C"/>
    <w:rsid w:val="00916E42"/>
    <w:rsid w:val="009171C3"/>
    <w:rsid w:val="00917419"/>
    <w:rsid w:val="009203BF"/>
    <w:rsid w:val="00920862"/>
    <w:rsid w:val="0092274A"/>
    <w:rsid w:val="00924DF1"/>
    <w:rsid w:val="00926E22"/>
    <w:rsid w:val="00930211"/>
    <w:rsid w:val="009314A0"/>
    <w:rsid w:val="00931F0A"/>
    <w:rsid w:val="009330D9"/>
    <w:rsid w:val="0093326E"/>
    <w:rsid w:val="0093368A"/>
    <w:rsid w:val="009340B9"/>
    <w:rsid w:val="00934822"/>
    <w:rsid w:val="00936B7F"/>
    <w:rsid w:val="00936D95"/>
    <w:rsid w:val="00937607"/>
    <w:rsid w:val="00941D82"/>
    <w:rsid w:val="0094239C"/>
    <w:rsid w:val="00945A24"/>
    <w:rsid w:val="009461AE"/>
    <w:rsid w:val="00946EDA"/>
    <w:rsid w:val="00951B56"/>
    <w:rsid w:val="00953372"/>
    <w:rsid w:val="0095389D"/>
    <w:rsid w:val="00953B19"/>
    <w:rsid w:val="00954CEF"/>
    <w:rsid w:val="00956866"/>
    <w:rsid w:val="00956F0F"/>
    <w:rsid w:val="00961E4C"/>
    <w:rsid w:val="0096239A"/>
    <w:rsid w:val="0096255A"/>
    <w:rsid w:val="009647BD"/>
    <w:rsid w:val="00964E5F"/>
    <w:rsid w:val="00966C8D"/>
    <w:rsid w:val="009713B8"/>
    <w:rsid w:val="00971FC0"/>
    <w:rsid w:val="009738B4"/>
    <w:rsid w:val="0097558D"/>
    <w:rsid w:val="00976861"/>
    <w:rsid w:val="00976BAE"/>
    <w:rsid w:val="0098064A"/>
    <w:rsid w:val="00983E03"/>
    <w:rsid w:val="00985869"/>
    <w:rsid w:val="00985B27"/>
    <w:rsid w:val="00987774"/>
    <w:rsid w:val="00990D82"/>
    <w:rsid w:val="00991A50"/>
    <w:rsid w:val="00993594"/>
    <w:rsid w:val="00993E80"/>
    <w:rsid w:val="00994604"/>
    <w:rsid w:val="0099496D"/>
    <w:rsid w:val="00997F4F"/>
    <w:rsid w:val="009A48A9"/>
    <w:rsid w:val="009A542F"/>
    <w:rsid w:val="009A6909"/>
    <w:rsid w:val="009B46DB"/>
    <w:rsid w:val="009B72E0"/>
    <w:rsid w:val="009C1437"/>
    <w:rsid w:val="009C21F5"/>
    <w:rsid w:val="009C3ECE"/>
    <w:rsid w:val="009C4886"/>
    <w:rsid w:val="009C5931"/>
    <w:rsid w:val="009C7E26"/>
    <w:rsid w:val="009D005E"/>
    <w:rsid w:val="009D07E3"/>
    <w:rsid w:val="009D0A97"/>
    <w:rsid w:val="009D15E7"/>
    <w:rsid w:val="009D3015"/>
    <w:rsid w:val="009D4FFE"/>
    <w:rsid w:val="009D6D2A"/>
    <w:rsid w:val="009E0EAF"/>
    <w:rsid w:val="009E22BC"/>
    <w:rsid w:val="009E5839"/>
    <w:rsid w:val="009E6440"/>
    <w:rsid w:val="009E7562"/>
    <w:rsid w:val="009F0356"/>
    <w:rsid w:val="009F0458"/>
    <w:rsid w:val="009F0A2A"/>
    <w:rsid w:val="009F1B87"/>
    <w:rsid w:val="009F31EA"/>
    <w:rsid w:val="009F4B84"/>
    <w:rsid w:val="009F4CCF"/>
    <w:rsid w:val="009F4EA7"/>
    <w:rsid w:val="009F5520"/>
    <w:rsid w:val="009F5E50"/>
    <w:rsid w:val="009F7DB6"/>
    <w:rsid w:val="00A011CE"/>
    <w:rsid w:val="00A01DCF"/>
    <w:rsid w:val="00A06292"/>
    <w:rsid w:val="00A066CF"/>
    <w:rsid w:val="00A069CD"/>
    <w:rsid w:val="00A100B7"/>
    <w:rsid w:val="00A1243D"/>
    <w:rsid w:val="00A1449F"/>
    <w:rsid w:val="00A20991"/>
    <w:rsid w:val="00A21CA5"/>
    <w:rsid w:val="00A23ED6"/>
    <w:rsid w:val="00A25D5E"/>
    <w:rsid w:val="00A30FAF"/>
    <w:rsid w:val="00A31048"/>
    <w:rsid w:val="00A34F91"/>
    <w:rsid w:val="00A353AC"/>
    <w:rsid w:val="00A35AC1"/>
    <w:rsid w:val="00A37A51"/>
    <w:rsid w:val="00A41302"/>
    <w:rsid w:val="00A4332F"/>
    <w:rsid w:val="00A4401A"/>
    <w:rsid w:val="00A46932"/>
    <w:rsid w:val="00A51D07"/>
    <w:rsid w:val="00A52D97"/>
    <w:rsid w:val="00A531CB"/>
    <w:rsid w:val="00A53C30"/>
    <w:rsid w:val="00A612AE"/>
    <w:rsid w:val="00A6191A"/>
    <w:rsid w:val="00A619AD"/>
    <w:rsid w:val="00A619EA"/>
    <w:rsid w:val="00A61CC4"/>
    <w:rsid w:val="00A63C42"/>
    <w:rsid w:val="00A63E86"/>
    <w:rsid w:val="00A674FB"/>
    <w:rsid w:val="00A6787B"/>
    <w:rsid w:val="00A72880"/>
    <w:rsid w:val="00A74720"/>
    <w:rsid w:val="00A7495B"/>
    <w:rsid w:val="00A8056F"/>
    <w:rsid w:val="00A80A9A"/>
    <w:rsid w:val="00A80E2D"/>
    <w:rsid w:val="00A81877"/>
    <w:rsid w:val="00A837E3"/>
    <w:rsid w:val="00A84004"/>
    <w:rsid w:val="00A8495B"/>
    <w:rsid w:val="00A86581"/>
    <w:rsid w:val="00A87147"/>
    <w:rsid w:val="00A873C2"/>
    <w:rsid w:val="00A876B2"/>
    <w:rsid w:val="00A87A5A"/>
    <w:rsid w:val="00A9197F"/>
    <w:rsid w:val="00A93AE1"/>
    <w:rsid w:val="00A9551D"/>
    <w:rsid w:val="00A961EE"/>
    <w:rsid w:val="00A9686A"/>
    <w:rsid w:val="00AA0260"/>
    <w:rsid w:val="00AA038A"/>
    <w:rsid w:val="00AA0EB8"/>
    <w:rsid w:val="00AA2764"/>
    <w:rsid w:val="00AA30E3"/>
    <w:rsid w:val="00AA322D"/>
    <w:rsid w:val="00AA3E6B"/>
    <w:rsid w:val="00AA41BF"/>
    <w:rsid w:val="00AA6BC2"/>
    <w:rsid w:val="00AA7E74"/>
    <w:rsid w:val="00AB013C"/>
    <w:rsid w:val="00AB3A40"/>
    <w:rsid w:val="00AB4251"/>
    <w:rsid w:val="00AB5AB1"/>
    <w:rsid w:val="00AB6D04"/>
    <w:rsid w:val="00AB6DA5"/>
    <w:rsid w:val="00AB7461"/>
    <w:rsid w:val="00AC01B1"/>
    <w:rsid w:val="00AC1F75"/>
    <w:rsid w:val="00AC2911"/>
    <w:rsid w:val="00AC3800"/>
    <w:rsid w:val="00AC3B4D"/>
    <w:rsid w:val="00AC53BE"/>
    <w:rsid w:val="00AC5B54"/>
    <w:rsid w:val="00AC7FC1"/>
    <w:rsid w:val="00AD1C29"/>
    <w:rsid w:val="00AD2D73"/>
    <w:rsid w:val="00AD2D74"/>
    <w:rsid w:val="00AD42DC"/>
    <w:rsid w:val="00AD7418"/>
    <w:rsid w:val="00AE0681"/>
    <w:rsid w:val="00AE2606"/>
    <w:rsid w:val="00AE5B20"/>
    <w:rsid w:val="00AF0CCB"/>
    <w:rsid w:val="00AF282E"/>
    <w:rsid w:val="00AF5FB2"/>
    <w:rsid w:val="00B0364B"/>
    <w:rsid w:val="00B0662F"/>
    <w:rsid w:val="00B076B5"/>
    <w:rsid w:val="00B079D5"/>
    <w:rsid w:val="00B11623"/>
    <w:rsid w:val="00B11DCD"/>
    <w:rsid w:val="00B12362"/>
    <w:rsid w:val="00B12BFD"/>
    <w:rsid w:val="00B139F9"/>
    <w:rsid w:val="00B152C0"/>
    <w:rsid w:val="00B15775"/>
    <w:rsid w:val="00B1622A"/>
    <w:rsid w:val="00B209B7"/>
    <w:rsid w:val="00B21452"/>
    <w:rsid w:val="00B2184A"/>
    <w:rsid w:val="00B23AD5"/>
    <w:rsid w:val="00B23FDA"/>
    <w:rsid w:val="00B25366"/>
    <w:rsid w:val="00B264D3"/>
    <w:rsid w:val="00B264FE"/>
    <w:rsid w:val="00B2700D"/>
    <w:rsid w:val="00B308ED"/>
    <w:rsid w:val="00B3112D"/>
    <w:rsid w:val="00B31489"/>
    <w:rsid w:val="00B32B4E"/>
    <w:rsid w:val="00B337F5"/>
    <w:rsid w:val="00B345E4"/>
    <w:rsid w:val="00B351C5"/>
    <w:rsid w:val="00B41F82"/>
    <w:rsid w:val="00B42ACD"/>
    <w:rsid w:val="00B437BD"/>
    <w:rsid w:val="00B46001"/>
    <w:rsid w:val="00B4607B"/>
    <w:rsid w:val="00B5024F"/>
    <w:rsid w:val="00B5252C"/>
    <w:rsid w:val="00B52713"/>
    <w:rsid w:val="00B53039"/>
    <w:rsid w:val="00B54131"/>
    <w:rsid w:val="00B5601A"/>
    <w:rsid w:val="00B57FAC"/>
    <w:rsid w:val="00B60B3B"/>
    <w:rsid w:val="00B64088"/>
    <w:rsid w:val="00B65192"/>
    <w:rsid w:val="00B655A2"/>
    <w:rsid w:val="00B70723"/>
    <w:rsid w:val="00B71757"/>
    <w:rsid w:val="00B72A54"/>
    <w:rsid w:val="00B747BB"/>
    <w:rsid w:val="00B74CAF"/>
    <w:rsid w:val="00B75447"/>
    <w:rsid w:val="00B75F93"/>
    <w:rsid w:val="00B81CF3"/>
    <w:rsid w:val="00B85854"/>
    <w:rsid w:val="00B94E19"/>
    <w:rsid w:val="00B94E75"/>
    <w:rsid w:val="00B9607D"/>
    <w:rsid w:val="00B968BE"/>
    <w:rsid w:val="00B97169"/>
    <w:rsid w:val="00BA0902"/>
    <w:rsid w:val="00BA176E"/>
    <w:rsid w:val="00BA27FF"/>
    <w:rsid w:val="00BA2F88"/>
    <w:rsid w:val="00BA334F"/>
    <w:rsid w:val="00BA4433"/>
    <w:rsid w:val="00BA49D5"/>
    <w:rsid w:val="00BA55AC"/>
    <w:rsid w:val="00BA72A6"/>
    <w:rsid w:val="00BA7E3E"/>
    <w:rsid w:val="00BB1030"/>
    <w:rsid w:val="00BB10D2"/>
    <w:rsid w:val="00BB180B"/>
    <w:rsid w:val="00BB20AD"/>
    <w:rsid w:val="00BB2629"/>
    <w:rsid w:val="00BB341F"/>
    <w:rsid w:val="00BB394E"/>
    <w:rsid w:val="00BC0713"/>
    <w:rsid w:val="00BC0ED3"/>
    <w:rsid w:val="00BC1369"/>
    <w:rsid w:val="00BC40A7"/>
    <w:rsid w:val="00BC4505"/>
    <w:rsid w:val="00BC4D1B"/>
    <w:rsid w:val="00BC5013"/>
    <w:rsid w:val="00BC5AA3"/>
    <w:rsid w:val="00BC5C0A"/>
    <w:rsid w:val="00BC5F5D"/>
    <w:rsid w:val="00BC607C"/>
    <w:rsid w:val="00BC7720"/>
    <w:rsid w:val="00BC7848"/>
    <w:rsid w:val="00BD0D85"/>
    <w:rsid w:val="00BD1134"/>
    <w:rsid w:val="00BD15B6"/>
    <w:rsid w:val="00BD1EE0"/>
    <w:rsid w:val="00BD39FF"/>
    <w:rsid w:val="00BD446E"/>
    <w:rsid w:val="00BE14E6"/>
    <w:rsid w:val="00BE2F81"/>
    <w:rsid w:val="00BE3631"/>
    <w:rsid w:val="00BE43DA"/>
    <w:rsid w:val="00BE5339"/>
    <w:rsid w:val="00BE53C9"/>
    <w:rsid w:val="00BE689A"/>
    <w:rsid w:val="00BE6EB1"/>
    <w:rsid w:val="00BF0246"/>
    <w:rsid w:val="00BF25BE"/>
    <w:rsid w:val="00BF4408"/>
    <w:rsid w:val="00BF53D4"/>
    <w:rsid w:val="00BF6AA8"/>
    <w:rsid w:val="00BF6DF9"/>
    <w:rsid w:val="00C02A9F"/>
    <w:rsid w:val="00C02C2E"/>
    <w:rsid w:val="00C04082"/>
    <w:rsid w:val="00C1184B"/>
    <w:rsid w:val="00C15961"/>
    <w:rsid w:val="00C15CFF"/>
    <w:rsid w:val="00C16D3B"/>
    <w:rsid w:val="00C17BAD"/>
    <w:rsid w:val="00C20195"/>
    <w:rsid w:val="00C20F24"/>
    <w:rsid w:val="00C22B78"/>
    <w:rsid w:val="00C2325D"/>
    <w:rsid w:val="00C239CB"/>
    <w:rsid w:val="00C31C3F"/>
    <w:rsid w:val="00C338F5"/>
    <w:rsid w:val="00C33BDE"/>
    <w:rsid w:val="00C341CE"/>
    <w:rsid w:val="00C35651"/>
    <w:rsid w:val="00C3748B"/>
    <w:rsid w:val="00C37917"/>
    <w:rsid w:val="00C37D05"/>
    <w:rsid w:val="00C41C13"/>
    <w:rsid w:val="00C45678"/>
    <w:rsid w:val="00C4572B"/>
    <w:rsid w:val="00C46972"/>
    <w:rsid w:val="00C50BD4"/>
    <w:rsid w:val="00C518C2"/>
    <w:rsid w:val="00C52B3D"/>
    <w:rsid w:val="00C550F8"/>
    <w:rsid w:val="00C56032"/>
    <w:rsid w:val="00C5617C"/>
    <w:rsid w:val="00C57F47"/>
    <w:rsid w:val="00C614CC"/>
    <w:rsid w:val="00C62CE9"/>
    <w:rsid w:val="00C62DCC"/>
    <w:rsid w:val="00C655D5"/>
    <w:rsid w:val="00C660E9"/>
    <w:rsid w:val="00C70C68"/>
    <w:rsid w:val="00C71B02"/>
    <w:rsid w:val="00C7408C"/>
    <w:rsid w:val="00C740EA"/>
    <w:rsid w:val="00C76A1D"/>
    <w:rsid w:val="00C81892"/>
    <w:rsid w:val="00C81AEE"/>
    <w:rsid w:val="00C81D65"/>
    <w:rsid w:val="00C81F21"/>
    <w:rsid w:val="00C86983"/>
    <w:rsid w:val="00C91188"/>
    <w:rsid w:val="00C92760"/>
    <w:rsid w:val="00C92835"/>
    <w:rsid w:val="00C931E8"/>
    <w:rsid w:val="00C94902"/>
    <w:rsid w:val="00C95318"/>
    <w:rsid w:val="00C97EFC"/>
    <w:rsid w:val="00CA0487"/>
    <w:rsid w:val="00CA126D"/>
    <w:rsid w:val="00CA1716"/>
    <w:rsid w:val="00CA242E"/>
    <w:rsid w:val="00CA330C"/>
    <w:rsid w:val="00CA461D"/>
    <w:rsid w:val="00CA49BD"/>
    <w:rsid w:val="00CA4C6E"/>
    <w:rsid w:val="00CA6C1C"/>
    <w:rsid w:val="00CB190F"/>
    <w:rsid w:val="00CB2AC6"/>
    <w:rsid w:val="00CB343B"/>
    <w:rsid w:val="00CB3926"/>
    <w:rsid w:val="00CB5ACD"/>
    <w:rsid w:val="00CB6C5B"/>
    <w:rsid w:val="00CC0197"/>
    <w:rsid w:val="00CC05B6"/>
    <w:rsid w:val="00CC0B56"/>
    <w:rsid w:val="00CC0CE3"/>
    <w:rsid w:val="00CC1EB2"/>
    <w:rsid w:val="00CC2B23"/>
    <w:rsid w:val="00CC2D8D"/>
    <w:rsid w:val="00CC4851"/>
    <w:rsid w:val="00CC4C52"/>
    <w:rsid w:val="00CC672C"/>
    <w:rsid w:val="00CD0387"/>
    <w:rsid w:val="00CD0464"/>
    <w:rsid w:val="00CD0C18"/>
    <w:rsid w:val="00CD2FB0"/>
    <w:rsid w:val="00CD5DDB"/>
    <w:rsid w:val="00CD7288"/>
    <w:rsid w:val="00CE08F2"/>
    <w:rsid w:val="00CE2837"/>
    <w:rsid w:val="00CE4007"/>
    <w:rsid w:val="00CE4636"/>
    <w:rsid w:val="00CE4A15"/>
    <w:rsid w:val="00CE5A0B"/>
    <w:rsid w:val="00CE698A"/>
    <w:rsid w:val="00CE7A47"/>
    <w:rsid w:val="00CE7E19"/>
    <w:rsid w:val="00CF22EC"/>
    <w:rsid w:val="00CF3518"/>
    <w:rsid w:val="00CF3E8D"/>
    <w:rsid w:val="00CF5549"/>
    <w:rsid w:val="00D00066"/>
    <w:rsid w:val="00D004D3"/>
    <w:rsid w:val="00D030FE"/>
    <w:rsid w:val="00D04978"/>
    <w:rsid w:val="00D04CB8"/>
    <w:rsid w:val="00D0581B"/>
    <w:rsid w:val="00D06E85"/>
    <w:rsid w:val="00D12A0F"/>
    <w:rsid w:val="00D12FA3"/>
    <w:rsid w:val="00D14DE0"/>
    <w:rsid w:val="00D152D9"/>
    <w:rsid w:val="00D16784"/>
    <w:rsid w:val="00D17ADC"/>
    <w:rsid w:val="00D17F4F"/>
    <w:rsid w:val="00D20ACF"/>
    <w:rsid w:val="00D22128"/>
    <w:rsid w:val="00D2243B"/>
    <w:rsid w:val="00D233A0"/>
    <w:rsid w:val="00D23926"/>
    <w:rsid w:val="00D24162"/>
    <w:rsid w:val="00D251D5"/>
    <w:rsid w:val="00D30E23"/>
    <w:rsid w:val="00D32A10"/>
    <w:rsid w:val="00D32DEC"/>
    <w:rsid w:val="00D34061"/>
    <w:rsid w:val="00D35BBB"/>
    <w:rsid w:val="00D3638A"/>
    <w:rsid w:val="00D371EA"/>
    <w:rsid w:val="00D40298"/>
    <w:rsid w:val="00D41B8A"/>
    <w:rsid w:val="00D4295A"/>
    <w:rsid w:val="00D4632A"/>
    <w:rsid w:val="00D475EA"/>
    <w:rsid w:val="00D51952"/>
    <w:rsid w:val="00D519FC"/>
    <w:rsid w:val="00D5555E"/>
    <w:rsid w:val="00D57F73"/>
    <w:rsid w:val="00D614AB"/>
    <w:rsid w:val="00D61988"/>
    <w:rsid w:val="00D62CCF"/>
    <w:rsid w:val="00D65176"/>
    <w:rsid w:val="00D6560F"/>
    <w:rsid w:val="00D71EB2"/>
    <w:rsid w:val="00D75B50"/>
    <w:rsid w:val="00D8090D"/>
    <w:rsid w:val="00D81051"/>
    <w:rsid w:val="00D81FA8"/>
    <w:rsid w:val="00D82492"/>
    <w:rsid w:val="00D83E00"/>
    <w:rsid w:val="00D85471"/>
    <w:rsid w:val="00D901CF"/>
    <w:rsid w:val="00D90410"/>
    <w:rsid w:val="00D94EB7"/>
    <w:rsid w:val="00DA047D"/>
    <w:rsid w:val="00DA37C2"/>
    <w:rsid w:val="00DA3A7B"/>
    <w:rsid w:val="00DA3F2A"/>
    <w:rsid w:val="00DA4400"/>
    <w:rsid w:val="00DA441B"/>
    <w:rsid w:val="00DA4535"/>
    <w:rsid w:val="00DA498B"/>
    <w:rsid w:val="00DA5ED6"/>
    <w:rsid w:val="00DA6281"/>
    <w:rsid w:val="00DB0192"/>
    <w:rsid w:val="00DB3270"/>
    <w:rsid w:val="00DB4EAE"/>
    <w:rsid w:val="00DB5384"/>
    <w:rsid w:val="00DB7D21"/>
    <w:rsid w:val="00DC0376"/>
    <w:rsid w:val="00DC0915"/>
    <w:rsid w:val="00DC1743"/>
    <w:rsid w:val="00DC1777"/>
    <w:rsid w:val="00DC1CA8"/>
    <w:rsid w:val="00DC2023"/>
    <w:rsid w:val="00DC495C"/>
    <w:rsid w:val="00DD03B2"/>
    <w:rsid w:val="00DD28BA"/>
    <w:rsid w:val="00DD3604"/>
    <w:rsid w:val="00DD3A39"/>
    <w:rsid w:val="00DD4FD5"/>
    <w:rsid w:val="00DD5AB3"/>
    <w:rsid w:val="00DE0C92"/>
    <w:rsid w:val="00DE0F35"/>
    <w:rsid w:val="00DE39DB"/>
    <w:rsid w:val="00DE4BC2"/>
    <w:rsid w:val="00DE4D51"/>
    <w:rsid w:val="00DE5DDC"/>
    <w:rsid w:val="00DE6F13"/>
    <w:rsid w:val="00DF103D"/>
    <w:rsid w:val="00DF23D7"/>
    <w:rsid w:val="00DF2657"/>
    <w:rsid w:val="00DF2EC2"/>
    <w:rsid w:val="00E020CE"/>
    <w:rsid w:val="00E0285C"/>
    <w:rsid w:val="00E048FE"/>
    <w:rsid w:val="00E049F1"/>
    <w:rsid w:val="00E06962"/>
    <w:rsid w:val="00E06E10"/>
    <w:rsid w:val="00E10298"/>
    <w:rsid w:val="00E11204"/>
    <w:rsid w:val="00E1270F"/>
    <w:rsid w:val="00E13021"/>
    <w:rsid w:val="00E13085"/>
    <w:rsid w:val="00E1326F"/>
    <w:rsid w:val="00E13B57"/>
    <w:rsid w:val="00E1508B"/>
    <w:rsid w:val="00E16A26"/>
    <w:rsid w:val="00E200B0"/>
    <w:rsid w:val="00E22E77"/>
    <w:rsid w:val="00E242EF"/>
    <w:rsid w:val="00E245BF"/>
    <w:rsid w:val="00E31A85"/>
    <w:rsid w:val="00E3378A"/>
    <w:rsid w:val="00E3398A"/>
    <w:rsid w:val="00E33999"/>
    <w:rsid w:val="00E35075"/>
    <w:rsid w:val="00E42B5D"/>
    <w:rsid w:val="00E45463"/>
    <w:rsid w:val="00E504F0"/>
    <w:rsid w:val="00E513A8"/>
    <w:rsid w:val="00E51CBA"/>
    <w:rsid w:val="00E5400A"/>
    <w:rsid w:val="00E542EB"/>
    <w:rsid w:val="00E549A1"/>
    <w:rsid w:val="00E5577E"/>
    <w:rsid w:val="00E56B77"/>
    <w:rsid w:val="00E57029"/>
    <w:rsid w:val="00E61A74"/>
    <w:rsid w:val="00E645A7"/>
    <w:rsid w:val="00E655A3"/>
    <w:rsid w:val="00E67D48"/>
    <w:rsid w:val="00E67DB3"/>
    <w:rsid w:val="00E7136D"/>
    <w:rsid w:val="00E71CD2"/>
    <w:rsid w:val="00E731CA"/>
    <w:rsid w:val="00E76C7D"/>
    <w:rsid w:val="00E77973"/>
    <w:rsid w:val="00E80659"/>
    <w:rsid w:val="00E81925"/>
    <w:rsid w:val="00E81C62"/>
    <w:rsid w:val="00E8320B"/>
    <w:rsid w:val="00E84B97"/>
    <w:rsid w:val="00E8528A"/>
    <w:rsid w:val="00E854A3"/>
    <w:rsid w:val="00E86527"/>
    <w:rsid w:val="00E90166"/>
    <w:rsid w:val="00E912CD"/>
    <w:rsid w:val="00E91DD4"/>
    <w:rsid w:val="00E92411"/>
    <w:rsid w:val="00E927F0"/>
    <w:rsid w:val="00E92C30"/>
    <w:rsid w:val="00E93AA4"/>
    <w:rsid w:val="00E93AFC"/>
    <w:rsid w:val="00E94E40"/>
    <w:rsid w:val="00EA0F3F"/>
    <w:rsid w:val="00EA1A65"/>
    <w:rsid w:val="00EA3CA2"/>
    <w:rsid w:val="00EA683C"/>
    <w:rsid w:val="00EA6956"/>
    <w:rsid w:val="00EA7315"/>
    <w:rsid w:val="00EA73EC"/>
    <w:rsid w:val="00EB0436"/>
    <w:rsid w:val="00EB21A7"/>
    <w:rsid w:val="00EB29CF"/>
    <w:rsid w:val="00EB3816"/>
    <w:rsid w:val="00EB383D"/>
    <w:rsid w:val="00EB443F"/>
    <w:rsid w:val="00EC4567"/>
    <w:rsid w:val="00EC4B19"/>
    <w:rsid w:val="00EC58D3"/>
    <w:rsid w:val="00EC5F0A"/>
    <w:rsid w:val="00ED2CF5"/>
    <w:rsid w:val="00ED2EEC"/>
    <w:rsid w:val="00ED3C89"/>
    <w:rsid w:val="00ED421B"/>
    <w:rsid w:val="00ED5E50"/>
    <w:rsid w:val="00ED6D8D"/>
    <w:rsid w:val="00EE04D3"/>
    <w:rsid w:val="00EE4EC0"/>
    <w:rsid w:val="00EE524D"/>
    <w:rsid w:val="00EF0039"/>
    <w:rsid w:val="00EF0290"/>
    <w:rsid w:val="00EF2431"/>
    <w:rsid w:val="00EF2571"/>
    <w:rsid w:val="00EF390B"/>
    <w:rsid w:val="00F01119"/>
    <w:rsid w:val="00F021AE"/>
    <w:rsid w:val="00F028A2"/>
    <w:rsid w:val="00F04953"/>
    <w:rsid w:val="00F066AE"/>
    <w:rsid w:val="00F0682F"/>
    <w:rsid w:val="00F12808"/>
    <w:rsid w:val="00F1420A"/>
    <w:rsid w:val="00F16ADC"/>
    <w:rsid w:val="00F229FB"/>
    <w:rsid w:val="00F2371B"/>
    <w:rsid w:val="00F3029B"/>
    <w:rsid w:val="00F30431"/>
    <w:rsid w:val="00F315B1"/>
    <w:rsid w:val="00F3186F"/>
    <w:rsid w:val="00F329B4"/>
    <w:rsid w:val="00F32B6F"/>
    <w:rsid w:val="00F40CF1"/>
    <w:rsid w:val="00F42339"/>
    <w:rsid w:val="00F456C1"/>
    <w:rsid w:val="00F45DCA"/>
    <w:rsid w:val="00F46009"/>
    <w:rsid w:val="00F46BAC"/>
    <w:rsid w:val="00F50156"/>
    <w:rsid w:val="00F510D7"/>
    <w:rsid w:val="00F5269F"/>
    <w:rsid w:val="00F52759"/>
    <w:rsid w:val="00F52A1E"/>
    <w:rsid w:val="00F55071"/>
    <w:rsid w:val="00F55D82"/>
    <w:rsid w:val="00F62FE2"/>
    <w:rsid w:val="00F64079"/>
    <w:rsid w:val="00F65FA7"/>
    <w:rsid w:val="00F66EE4"/>
    <w:rsid w:val="00F67525"/>
    <w:rsid w:val="00F72DB3"/>
    <w:rsid w:val="00F75D6D"/>
    <w:rsid w:val="00F773BA"/>
    <w:rsid w:val="00F775BA"/>
    <w:rsid w:val="00F77CC6"/>
    <w:rsid w:val="00F77EC1"/>
    <w:rsid w:val="00F8089F"/>
    <w:rsid w:val="00F8508B"/>
    <w:rsid w:val="00F85CBC"/>
    <w:rsid w:val="00F921A3"/>
    <w:rsid w:val="00F92755"/>
    <w:rsid w:val="00F9346C"/>
    <w:rsid w:val="00F95749"/>
    <w:rsid w:val="00F95A40"/>
    <w:rsid w:val="00F9737E"/>
    <w:rsid w:val="00FA0269"/>
    <w:rsid w:val="00FA0EBC"/>
    <w:rsid w:val="00FA2B57"/>
    <w:rsid w:val="00FA349B"/>
    <w:rsid w:val="00FA513C"/>
    <w:rsid w:val="00FB0B26"/>
    <w:rsid w:val="00FB12CB"/>
    <w:rsid w:val="00FB37EC"/>
    <w:rsid w:val="00FB52C9"/>
    <w:rsid w:val="00FB5563"/>
    <w:rsid w:val="00FB5776"/>
    <w:rsid w:val="00FB7185"/>
    <w:rsid w:val="00FB7756"/>
    <w:rsid w:val="00FB7A8C"/>
    <w:rsid w:val="00FC03D5"/>
    <w:rsid w:val="00FC330A"/>
    <w:rsid w:val="00FC688D"/>
    <w:rsid w:val="00FD017B"/>
    <w:rsid w:val="00FD1901"/>
    <w:rsid w:val="00FD35EE"/>
    <w:rsid w:val="00FD73C1"/>
    <w:rsid w:val="00FE1B5E"/>
    <w:rsid w:val="00FE1BF8"/>
    <w:rsid w:val="00FE3023"/>
    <w:rsid w:val="00FE3E84"/>
    <w:rsid w:val="00FF1C96"/>
    <w:rsid w:val="00FF1DB8"/>
    <w:rsid w:val="00FF1E12"/>
    <w:rsid w:val="00FF5C47"/>
    <w:rsid w:val="00FF5D9B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A7464"/>
  <w14:defaultImageDpi w14:val="96"/>
  <w15:docId w15:val="{0ECE36F4-B569-4830-B72E-3265FDE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B2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1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20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6202A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620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6202A"/>
    <w:rPr>
      <w:rFonts w:ascii="Times New Roman" w:hAnsi="Times New Roman" w:cs="Times New Roman"/>
      <w:sz w:val="24"/>
      <w:szCs w:val="24"/>
    </w:rPr>
  </w:style>
  <w:style w:type="table" w:styleId="Tablaconcuadrcula4-nfasis2">
    <w:name w:val="Grid Table 4 Accent 2"/>
    <w:basedOn w:val="Tablanormal"/>
    <w:uiPriority w:val="49"/>
    <w:rsid w:val="00BE2F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F04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45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F04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4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458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04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0458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F775BA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ladecuadrcula4-nfasis21">
    <w:name w:val="Tabla de cuadrícula 4 - Énfasis 21"/>
    <w:basedOn w:val="Tablanormal"/>
    <w:next w:val="Tablaconcuadrcula4-nfasis2"/>
    <w:uiPriority w:val="49"/>
    <w:rsid w:val="00976BA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4653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6535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653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24F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24F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44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41CE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9D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8.jpe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1.jpeg"/><Relationship Id="rId47" Type="http://schemas.openxmlformats.org/officeDocument/2006/relationships/image" Target="media/image35.png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image" Target="media/image29.jpeg"/><Relationship Id="rId45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about:blank" TargetMode="External"/><Relationship Id="rId49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chart" Target="charts/chart2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yperlink" Target="https://www.inegi.org.mx/programas/rellaborales/" TargetMode="External"/><Relationship Id="rId43" Type="http://schemas.openxmlformats.org/officeDocument/2006/relationships/image" Target="media/image32.png"/><Relationship Id="rId48" Type="http://schemas.openxmlformats.org/officeDocument/2006/relationships/hyperlink" Target="https://www.inegi.org.mx/programas/ralab" TargetMode="External"/><Relationship Id="rId8" Type="http://schemas.openxmlformats.org/officeDocument/2006/relationships/chart" Target="charts/chart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46" Type="http://schemas.openxmlformats.org/officeDocument/2006/relationships/image" Target="media/image34.png"/><Relationship Id="rId20" Type="http://schemas.openxmlformats.org/officeDocument/2006/relationships/image" Target="media/image12.pn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0.jpeg"/><Relationship Id="rId1" Type="http://schemas.openxmlformats.org/officeDocument/2006/relationships/image" Target="media/image2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orma.saenz\AppData\Local\Microsoft\Windows\INetCache\Content.Outlook\S3A3ZHU5\GRAFICA-22-ORIG-O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ul.carrasco\Documents\2020\DGARA\SARAS\ERLJL\Publicaci&#243;n%202022\GRAFICA-22-ORIG-O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020795477488394E-2"/>
          <c:y val="3.7124245369668539E-2"/>
          <c:w val="0.68324925896964961"/>
          <c:h val="0.96287580331528322"/>
        </c:manualLayout>
      </c:layout>
      <c:pieChart>
        <c:varyColors val="1"/>
        <c:ser>
          <c:idx val="0"/>
          <c:order val="0"/>
          <c:spPr>
            <a:effectLst/>
          </c:spPr>
          <c:dPt>
            <c:idx val="0"/>
            <c:bubble3D val="0"/>
            <c:explosion val="11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D97-4CD5-A17F-114F9AC87012}"/>
              </c:ext>
            </c:extLst>
          </c:dPt>
          <c:dPt>
            <c:idx val="1"/>
            <c:bubble3D val="0"/>
            <c:explosion val="1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D97-4CD5-A17F-114F9AC87012}"/>
              </c:ext>
            </c:extLst>
          </c:dPt>
          <c:dPt>
            <c:idx val="2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D97-4CD5-A17F-114F9AC87012}"/>
              </c:ext>
            </c:extLst>
          </c:dPt>
          <c:dLbls>
            <c:dLbl>
              <c:idx val="0"/>
              <c:layout>
                <c:manualLayout>
                  <c:x val="6.7296210953881235E-3"/>
                  <c:y val="3.7467094390978908E-2"/>
                </c:manualLayout>
              </c:layout>
              <c:numFmt formatCode="0.0\ \ 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556522057779427"/>
                      <c:h val="0.260074816229366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D97-4CD5-A17F-114F9AC87012}"/>
                </c:ext>
              </c:extLst>
            </c:dLbl>
            <c:dLbl>
              <c:idx val="1"/>
              <c:layout>
                <c:manualLayout>
                  <c:x val="-0.16843451896099199"/>
                  <c:y val="-0.17915639956770119"/>
                </c:manualLayout>
              </c:layout>
              <c:numFmt formatCode="0.0\ \ 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618964514252473"/>
                      <c:h val="0.21705426356589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D97-4CD5-A17F-114F9AC87012}"/>
                </c:ext>
              </c:extLst>
            </c:dLbl>
            <c:dLbl>
              <c:idx val="2"/>
              <c:layout>
                <c:manualLayout>
                  <c:x val="0.11938618879536607"/>
                  <c:y val="0.21391631928361893"/>
                </c:manualLayout>
              </c:layout>
              <c:numFmt formatCode="0.0\ \ 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4897828347372809"/>
                      <c:h val="0.256564906130919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D97-4CD5-A17F-114F9AC87012}"/>
                </c:ext>
              </c:extLst>
            </c:dLbl>
            <c:numFmt formatCode="0.0\ \ 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'01'!$A$15:$A$17</c:f>
              <c:strCache>
                <c:ptCount val="3"/>
                <c:pt idx="0">
                  <c:v>Emplazamientos a huelga</c:v>
                </c:pt>
                <c:pt idx="1">
                  <c:v>Conflictos de trabajo</c:v>
                </c:pt>
                <c:pt idx="2">
                  <c:v>Convenios de trabajo
prejudiciales</c:v>
                </c:pt>
              </c:strCache>
            </c:strRef>
          </c:cat>
          <c:val>
            <c:numRef>
              <c:f>'01'!$B$15:$B$17</c:f>
              <c:numCache>
                <c:formatCode>#\ ###\ ##0</c:formatCode>
                <c:ptCount val="3"/>
                <c:pt idx="0">
                  <c:v>3151</c:v>
                </c:pt>
                <c:pt idx="1">
                  <c:v>138420</c:v>
                </c:pt>
                <c:pt idx="2">
                  <c:v>356442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97-4CD5-A17F-114F9AC8701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9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924866011168476"/>
          <c:y val="2.3233656509695291E-2"/>
          <c:w val="0.68736761351630782"/>
          <c:h val="0.9220924398668175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Anexo_1!$M$4</c:f>
              <c:strCache>
                <c:ptCount val="1"/>
                <c:pt idx="0">
                  <c:v>Convenios </c:v>
                </c:pt>
              </c:strCache>
            </c:strRef>
          </c:tx>
          <c:spPr>
            <a:solidFill>
              <a:srgbClr val="62D8D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88797899641390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1B-4BD3-8933-6AEF45C103FD}"/>
                </c:ext>
              </c:extLst>
            </c:dLbl>
            <c:dLbl>
              <c:idx val="1"/>
              <c:layout>
                <c:manualLayout>
                  <c:x val="1.9263977380753437E-2"/>
                  <c:y val="-1.4236488040225602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1B-4BD3-8933-6AEF45C103FD}"/>
                </c:ext>
              </c:extLst>
            </c:dLbl>
            <c:dLbl>
              <c:idx val="2"/>
              <c:layout>
                <c:manualLayout>
                  <c:x val="2.201597414943255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1B-4BD3-8933-6AEF45C103FD}"/>
                </c:ext>
              </c:extLst>
            </c:dLbl>
            <c:dLbl>
              <c:idx val="3"/>
              <c:layout>
                <c:manualLayout>
                  <c:x val="2.476797091811162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1B-4BD3-8933-6AEF45C103FD}"/>
                </c:ext>
              </c:extLst>
            </c:dLbl>
            <c:dLbl>
              <c:idx val="4"/>
              <c:layout>
                <c:manualLayout>
                  <c:x val="2.751996768679069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1B-4BD3-8933-6AEF45C103FD}"/>
                </c:ext>
              </c:extLst>
            </c:dLbl>
            <c:dLbl>
              <c:idx val="5"/>
              <c:layout>
                <c:manualLayout>
                  <c:x val="2.88959660711301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1B-4BD3-8933-6AEF45C103FD}"/>
                </c:ext>
              </c:extLst>
            </c:dLbl>
            <c:dLbl>
              <c:idx val="6"/>
              <c:layout>
                <c:manualLayout>
                  <c:x val="2.889596607113023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71B-4BD3-8933-6AEF45C103FD}"/>
                </c:ext>
              </c:extLst>
            </c:dLbl>
            <c:dLbl>
              <c:idx val="7"/>
              <c:layout>
                <c:manualLayout>
                  <c:x val="3.0271964455469716E-2"/>
                  <c:y val="-1.941361704729585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1B-4BD3-8933-6AEF45C103FD}"/>
                </c:ext>
              </c:extLst>
            </c:dLbl>
            <c:dLbl>
              <c:idx val="8"/>
              <c:layout>
                <c:manualLayout>
                  <c:x val="3.1647962839809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1B-4BD3-8933-6AEF45C103FD}"/>
                </c:ext>
              </c:extLst>
            </c:dLbl>
            <c:dLbl>
              <c:idx val="9"/>
              <c:layout>
                <c:manualLayout>
                  <c:x val="3.7151956377167443E-2"/>
                  <c:y val="-1.4236488040225602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71B-4BD3-8933-6AEF45C103FD}"/>
                </c:ext>
              </c:extLst>
            </c:dLbl>
            <c:dLbl>
              <c:idx val="10"/>
              <c:layout>
                <c:manualLayout>
                  <c:x val="3.990395314584651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71B-4BD3-8933-6AEF45C103FD}"/>
                </c:ext>
              </c:extLst>
            </c:dLbl>
            <c:dLbl>
              <c:idx val="11"/>
              <c:layout>
                <c:manualLayout>
                  <c:x val="3.9903953145846514E-2"/>
                  <c:y val="7.118244020112801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71B-4BD3-8933-6AEF45C103FD}"/>
                </c:ext>
              </c:extLst>
            </c:dLbl>
            <c:dLbl>
              <c:idx val="12"/>
              <c:layout>
                <c:manualLayout>
                  <c:x val="4.265594991452557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71B-4BD3-8933-6AEF45C103FD}"/>
                </c:ext>
              </c:extLst>
            </c:dLbl>
            <c:dLbl>
              <c:idx val="13"/>
              <c:layout>
                <c:manualLayout>
                  <c:x val="4.403194829886511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71B-4BD3-8933-6AEF45C103FD}"/>
                </c:ext>
              </c:extLst>
            </c:dLbl>
            <c:dLbl>
              <c:idx val="14"/>
              <c:layout>
                <c:manualLayout>
                  <c:x val="5.7758865039846612E-2"/>
                  <c:y val="-6.449602317281707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71B-4BD3-8933-6AEF45C103FD}"/>
                </c:ext>
              </c:extLst>
            </c:dLbl>
            <c:dLbl>
              <c:idx val="15"/>
              <c:layout>
                <c:manualLayout>
                  <c:x val="5.9143149847993272E-2"/>
                  <c:y val="-6.449602317281707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71B-4BD3-8933-6AEF45C103FD}"/>
                </c:ext>
              </c:extLst>
            </c:dLbl>
            <c:dLbl>
              <c:idx val="16"/>
              <c:layout>
                <c:manualLayout>
                  <c:x val="6.1899297087935734E-2"/>
                  <c:y val="-6.449602317281707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71B-4BD3-8933-6AEF45C103FD}"/>
                </c:ext>
              </c:extLst>
            </c:dLbl>
            <c:dLbl>
              <c:idx val="17"/>
              <c:layout>
                <c:manualLayout>
                  <c:x val="7.292791436999525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71B-4BD3-8933-6AEF45C103FD}"/>
                </c:ext>
              </c:extLst>
            </c:dLbl>
            <c:dLbl>
              <c:idx val="18"/>
              <c:layout>
                <c:manualLayout>
                  <c:x val="7.567991113867431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71B-4BD3-8933-6AEF45C103FD}"/>
                </c:ext>
              </c:extLst>
            </c:dLbl>
            <c:dLbl>
              <c:idx val="19"/>
              <c:layout>
                <c:manualLayout>
                  <c:x val="8.3923522234109343E-2"/>
                  <c:y val="-1.759002770083102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71B-4BD3-8933-6AEF45C103FD}"/>
                </c:ext>
              </c:extLst>
            </c:dLbl>
            <c:dLbl>
              <c:idx val="20"/>
              <c:layout>
                <c:manualLayout>
                  <c:x val="9.0778621587195088E-2"/>
                  <c:y val="-6.449602317281707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71B-4BD3-8933-6AEF45C103FD}"/>
                </c:ext>
              </c:extLst>
            </c:dLbl>
            <c:dLbl>
              <c:idx val="21"/>
              <c:layout>
                <c:manualLayout>
                  <c:x val="9.9009796177969664E-2"/>
                  <c:y val="-6.449602317281707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71B-4BD3-8933-6AEF45C103FD}"/>
                </c:ext>
              </c:extLst>
            </c:dLbl>
            <c:dLbl>
              <c:idx val="22"/>
              <c:layout>
                <c:manualLayout>
                  <c:x val="9.904295852179329E-2"/>
                  <c:y val="-1.759002770083134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71B-4BD3-8933-6AEF45C103FD}"/>
                </c:ext>
              </c:extLst>
            </c:dLbl>
            <c:dLbl>
              <c:idx val="23"/>
              <c:layout>
                <c:manualLayout>
                  <c:x val="0.10182388044112547"/>
                  <c:y val="-3.559122010056400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71B-4BD3-8933-6AEF45C103FD}"/>
                </c:ext>
              </c:extLst>
            </c:dLbl>
            <c:dLbl>
              <c:idx val="24"/>
              <c:layout>
                <c:manualLayout>
                  <c:x val="0.10595187559414418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71B-4BD3-8933-6AEF45C103FD}"/>
                </c:ext>
              </c:extLst>
            </c:dLbl>
            <c:dLbl>
              <c:idx val="25"/>
              <c:layout>
                <c:manualLayout>
                  <c:x val="0.10595187559414418"/>
                  <c:y val="-3.559122010056400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71B-4BD3-8933-6AEF45C103FD}"/>
                </c:ext>
              </c:extLst>
            </c:dLbl>
            <c:dLbl>
              <c:idx val="26"/>
              <c:layout>
                <c:manualLayout>
                  <c:x val="0.118335861053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71B-4BD3-8933-6AEF45C103FD}"/>
                </c:ext>
              </c:extLst>
            </c:dLbl>
            <c:dLbl>
              <c:idx val="27"/>
              <c:layout>
                <c:manualLayout>
                  <c:x val="0.1608884613190965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71B-4BD3-8933-6AEF45C103FD}"/>
                </c:ext>
              </c:extLst>
            </c:dLbl>
            <c:dLbl>
              <c:idx val="28"/>
              <c:layout>
                <c:manualLayout>
                  <c:x val="0.1842845488970657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71B-4BD3-8933-6AEF45C103FD}"/>
                </c:ext>
              </c:extLst>
            </c:dLbl>
            <c:dLbl>
              <c:idx val="29"/>
              <c:layout>
                <c:manualLayout>
                  <c:x val="0.26019607046749627"/>
                  <c:y val="1.941412742382271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71B-4BD3-8933-6AEF45C103FD}"/>
                </c:ext>
              </c:extLst>
            </c:dLbl>
            <c:dLbl>
              <c:idx val="30"/>
              <c:layout>
                <c:manualLayout>
                  <c:x val="0.28902581348201578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71B-4BD3-8933-6AEF45C103FD}"/>
                </c:ext>
              </c:extLst>
            </c:dLbl>
            <c:dLbl>
              <c:idx val="31"/>
              <c:layout>
                <c:manualLayout>
                  <c:x val="0.30967817619639365"/>
                  <c:y val="-4.0310014483010673E-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71B-4BD3-8933-6AEF45C103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Anexo_1!$L$5:$L$36</c:f>
              <c:strCache>
                <c:ptCount val="32"/>
                <c:pt idx="0">
                  <c:v>Veracruz de Ignacio de la Llave¹</c:v>
                </c:pt>
                <c:pt idx="1">
                  <c:v>Nayarit</c:v>
                </c:pt>
                <c:pt idx="2">
                  <c:v>Tlaxcala</c:v>
                </c:pt>
                <c:pt idx="3">
                  <c:v>Zacatecas</c:v>
                </c:pt>
                <c:pt idx="4">
                  <c:v>Colima</c:v>
                </c:pt>
                <c:pt idx="5">
                  <c:v>Oaxaca</c:v>
                </c:pt>
                <c:pt idx="6">
                  <c:v>Baja California Sur</c:v>
                </c:pt>
                <c:pt idx="7">
                  <c:v>Hidalgo</c:v>
                </c:pt>
                <c:pt idx="8">
                  <c:v>Michoacán de Ocampo</c:v>
                </c:pt>
                <c:pt idx="9">
                  <c:v>Quintana Roo</c:v>
                </c:pt>
                <c:pt idx="10">
                  <c:v>Chiapas</c:v>
                </c:pt>
                <c:pt idx="11">
                  <c:v>Aguascalientes</c:v>
                </c:pt>
                <c:pt idx="12">
                  <c:v>Campeche</c:v>
                </c:pt>
                <c:pt idx="13">
                  <c:v>Morelos</c:v>
                </c:pt>
                <c:pt idx="14">
                  <c:v>Puebla</c:v>
                </c:pt>
                <c:pt idx="15">
                  <c:v>Tabasco</c:v>
                </c:pt>
                <c:pt idx="16">
                  <c:v>Baja California</c:v>
                </c:pt>
                <c:pt idx="17">
                  <c:v>Durango</c:v>
                </c:pt>
                <c:pt idx="18">
                  <c:v>Querétaro</c:v>
                </c:pt>
                <c:pt idx="19">
                  <c:v>Guerrero</c:v>
                </c:pt>
                <c:pt idx="20">
                  <c:v>San Luis Potosí</c:v>
                </c:pt>
                <c:pt idx="21">
                  <c:v>Chihuahua</c:v>
                </c:pt>
                <c:pt idx="22">
                  <c:v>Sinaloa</c:v>
                </c:pt>
                <c:pt idx="23">
                  <c:v>Tamaulipas </c:v>
                </c:pt>
                <c:pt idx="24">
                  <c:v>Nuevo León</c:v>
                </c:pt>
                <c:pt idx="25">
                  <c:v>Ciudad de México</c:v>
                </c:pt>
                <c:pt idx="26">
                  <c:v>Yucatán</c:v>
                </c:pt>
                <c:pt idx="27">
                  <c:v>México</c:v>
                </c:pt>
                <c:pt idx="28">
                  <c:v>Guanajuato</c:v>
                </c:pt>
                <c:pt idx="29">
                  <c:v>Sonora</c:v>
                </c:pt>
                <c:pt idx="30">
                  <c:v>Jalisco</c:v>
                </c:pt>
                <c:pt idx="31">
                  <c:v>Coahuila de Zaragoza</c:v>
                </c:pt>
              </c:strCache>
            </c:strRef>
          </c:cat>
          <c:val>
            <c:numRef>
              <c:f>Anexo_1!$M$5:$M$36</c:f>
              <c:numCache>
                <c:formatCode>0.0</c:formatCode>
                <c:ptCount val="32"/>
                <c:pt idx="0">
                  <c:v>0</c:v>
                </c:pt>
                <c:pt idx="1">
                  <c:v>0.20872961098860407</c:v>
                </c:pt>
                <c:pt idx="2">
                  <c:v>0.34732158387619866</c:v>
                </c:pt>
                <c:pt idx="3">
                  <c:v>0.38968471728920834</c:v>
                </c:pt>
                <c:pt idx="4">
                  <c:v>0.47749704019167211</c:v>
                </c:pt>
                <c:pt idx="5">
                  <c:v>0.56783431806577234</c:v>
                </c:pt>
                <c:pt idx="6">
                  <c:v>0.73223694177453835</c:v>
                </c:pt>
                <c:pt idx="7">
                  <c:v>0.77123346855869956</c:v>
                </c:pt>
                <c:pt idx="8">
                  <c:v>0.90084782376936501</c:v>
                </c:pt>
                <c:pt idx="9">
                  <c:v>1.027376122903586</c:v>
                </c:pt>
                <c:pt idx="10">
                  <c:v>1.0773141212315047</c:v>
                </c:pt>
                <c:pt idx="11">
                  <c:v>1.1098579853103732</c:v>
                </c:pt>
                <c:pt idx="12">
                  <c:v>1.2795910695148158</c:v>
                </c:pt>
                <c:pt idx="13">
                  <c:v>1.5531278581087526</c:v>
                </c:pt>
                <c:pt idx="14">
                  <c:v>1.8496697919998206</c:v>
                </c:pt>
                <c:pt idx="15">
                  <c:v>1.9938727759354957</c:v>
                </c:pt>
                <c:pt idx="16">
                  <c:v>2.1838054999130296</c:v>
                </c:pt>
                <c:pt idx="17">
                  <c:v>2.3445609664405431</c:v>
                </c:pt>
                <c:pt idx="18">
                  <c:v>2.493813860319491</c:v>
                </c:pt>
                <c:pt idx="19">
                  <c:v>3.1003641546170204</c:v>
                </c:pt>
                <c:pt idx="20">
                  <c:v>3.4420747274451386</c:v>
                </c:pt>
                <c:pt idx="21">
                  <c:v>3.6931674718467518</c:v>
                </c:pt>
                <c:pt idx="22">
                  <c:v>3.7032672917332974</c:v>
                </c:pt>
                <c:pt idx="23">
                  <c:v>3.8780502858810131</c:v>
                </c:pt>
                <c:pt idx="24">
                  <c:v>3.8875890046627504</c:v>
                </c:pt>
                <c:pt idx="25">
                  <c:v>4.0786439308498998</c:v>
                </c:pt>
                <c:pt idx="26">
                  <c:v>4.627120260799793</c:v>
                </c:pt>
                <c:pt idx="27">
                  <c:v>6.3177178895865245</c:v>
                </c:pt>
                <c:pt idx="28">
                  <c:v>7.2884228009044953</c:v>
                </c:pt>
                <c:pt idx="29">
                  <c:v>10.409828246951818</c:v>
                </c:pt>
                <c:pt idx="30">
                  <c:v>11.686333260390191</c:v>
                </c:pt>
                <c:pt idx="31">
                  <c:v>12.579045118139836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D71B-4BD3-8933-6AEF45C103F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"/>
        <c:overlap val="100"/>
        <c:axId val="581713392"/>
        <c:axId val="581700496"/>
      </c:barChart>
      <c:catAx>
        <c:axId val="581713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581700496"/>
        <c:crosses val="autoZero"/>
        <c:auto val="1"/>
        <c:lblAlgn val="ctr"/>
        <c:lblOffset val="100"/>
        <c:noMultiLvlLbl val="0"/>
      </c:catAx>
      <c:valAx>
        <c:axId val="581700496"/>
        <c:scaling>
          <c:orientation val="minMax"/>
          <c:max val="15"/>
          <c:min val="0"/>
        </c:scaling>
        <c:delete val="0"/>
        <c:axPos val="b"/>
        <c:numFmt formatCode="0.0" sourceLinked="1"/>
        <c:majorTickMark val="none"/>
        <c:minorTickMark val="none"/>
        <c:tickLblPos val="nextTo"/>
        <c:spPr>
          <a:noFill/>
          <a:ln w="6350"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58171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241F-81E3-41D1-B925-58E8F568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4827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Comunicado. Estadísticas sobre Relaciones Laborales de Jurisdicción Local (ERLAJUL) registradas durante 2022</vt:lpstr>
    </vt:vector>
  </TitlesOfParts>
  <Manager>INEGI</Manager>
  <Company>INEGI</Company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Comunicado. Estadísticas sobre Relaciones Laborales de Jurisdicción Local (ERLAJUL) registradas durante 2022</dc:title>
  <dc:subject>Estadísticas sobre Relaciones Laborales de Jurisdicción Local (ERLAJUL) registradas durante 2022</dc:subject>
  <dc:creator>INEGI</dc:creator>
  <cp:keywords/>
  <dc:description/>
  <cp:lastModifiedBy>GUILLEN MEDINA MOISES</cp:lastModifiedBy>
  <cp:revision>10</cp:revision>
  <cp:lastPrinted>2023-06-27T23:00:00Z</cp:lastPrinted>
  <dcterms:created xsi:type="dcterms:W3CDTF">2023-06-27T21:53:00Z</dcterms:created>
  <dcterms:modified xsi:type="dcterms:W3CDTF">2023-06-27T23:01:00Z</dcterms:modified>
</cp:coreProperties>
</file>